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378E9E5C"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991AE2">
        <w:t>2</w:t>
      </w:r>
      <w:r w:rsidR="00E3198C">
        <w:t>1bis</w:t>
      </w:r>
      <w:r w:rsidR="00617083">
        <w:t>-e</w:t>
      </w:r>
      <w:r w:rsidRPr="00CE0424">
        <w:tab/>
      </w:r>
      <w:r w:rsidR="00091557" w:rsidRPr="00CE0424">
        <w:rPr>
          <w:sz w:val="32"/>
          <w:szCs w:val="32"/>
        </w:rPr>
        <w:t>R2-</w:t>
      </w:r>
      <w:r w:rsidR="00F20F5C">
        <w:rPr>
          <w:sz w:val="32"/>
          <w:szCs w:val="32"/>
        </w:rPr>
        <w:t>2</w:t>
      </w:r>
      <w:r w:rsidR="00E3198C">
        <w:rPr>
          <w:sz w:val="32"/>
          <w:szCs w:val="32"/>
        </w:rPr>
        <w:t>3</w:t>
      </w:r>
      <w:r w:rsidR="007D5E33">
        <w:rPr>
          <w:sz w:val="32"/>
          <w:szCs w:val="32"/>
        </w:rPr>
        <w:t>04102</w:t>
      </w:r>
    </w:p>
    <w:p w14:paraId="0DEF01D1" w14:textId="3678F718" w:rsidR="00E90E49" w:rsidRPr="00CE0424" w:rsidRDefault="00370F68" w:rsidP="00311702">
      <w:pPr>
        <w:pStyle w:val="3GPPHeader"/>
      </w:pPr>
      <w:r w:rsidRPr="00370F68">
        <w:t xml:space="preserve">Electronic meeting, </w:t>
      </w:r>
      <w:r w:rsidR="00BF3818" w:rsidRPr="00BF3818">
        <w:t>17th – 26th April 2023</w:t>
      </w:r>
    </w:p>
    <w:p w14:paraId="252563D4" w14:textId="77777777" w:rsidR="00E90E49" w:rsidRPr="00CE0424" w:rsidRDefault="00E90E49" w:rsidP="00357380">
      <w:pPr>
        <w:pStyle w:val="3GPPHeader"/>
      </w:pPr>
    </w:p>
    <w:p w14:paraId="267378A2" w14:textId="04993CF7" w:rsidR="00E90E49" w:rsidRPr="00607651" w:rsidRDefault="00E90E49" w:rsidP="00311702">
      <w:pPr>
        <w:pStyle w:val="3GPPHeader"/>
        <w:rPr>
          <w:sz w:val="22"/>
          <w:szCs w:val="22"/>
          <w:lang w:val="en-US"/>
        </w:rPr>
      </w:pPr>
      <w:r w:rsidRPr="00607651">
        <w:rPr>
          <w:sz w:val="22"/>
          <w:szCs w:val="22"/>
          <w:lang w:val="en-US"/>
        </w:rPr>
        <w:t>Agenda Item:</w:t>
      </w:r>
      <w:r w:rsidRPr="00607651">
        <w:rPr>
          <w:sz w:val="22"/>
          <w:szCs w:val="22"/>
          <w:lang w:val="en-US"/>
        </w:rPr>
        <w:tab/>
      </w:r>
      <w:r w:rsidR="00483608" w:rsidRPr="00DB529F">
        <w:rPr>
          <w:sz w:val="22"/>
          <w:szCs w:val="22"/>
          <w:lang w:val="en-US"/>
        </w:rPr>
        <w:t>7.4.</w:t>
      </w:r>
      <w:r w:rsidR="007D5E33">
        <w:rPr>
          <w:sz w:val="22"/>
          <w:szCs w:val="22"/>
          <w:lang w:val="en-US"/>
        </w:rPr>
        <w:t>2.</w:t>
      </w:r>
      <w:r w:rsidR="00483608" w:rsidRPr="00DB529F">
        <w:rPr>
          <w:sz w:val="22"/>
          <w:szCs w:val="22"/>
          <w:lang w:val="en-US"/>
        </w:rPr>
        <w:t>1</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34E815A3" w:rsidR="00E90E49" w:rsidRPr="00CE0424" w:rsidRDefault="003D3C45" w:rsidP="00311702">
      <w:pPr>
        <w:pStyle w:val="3GPPHeader"/>
        <w:rPr>
          <w:sz w:val="22"/>
          <w:szCs w:val="22"/>
        </w:rPr>
      </w:pPr>
      <w:r>
        <w:rPr>
          <w:sz w:val="22"/>
          <w:szCs w:val="22"/>
        </w:rPr>
        <w:t>Title:</w:t>
      </w:r>
      <w:r w:rsidR="00E90E49" w:rsidRPr="00CE0424">
        <w:rPr>
          <w:sz w:val="22"/>
          <w:szCs w:val="22"/>
        </w:rPr>
        <w:tab/>
      </w:r>
      <w:r w:rsidR="00B104FA" w:rsidRPr="00B104FA">
        <w:rPr>
          <w:sz w:val="22"/>
          <w:szCs w:val="22"/>
        </w:rPr>
        <w:t>Discussion on RAN3 LS on approaches during execution for inter-DU LTM</w:t>
      </w:r>
    </w:p>
    <w:p w14:paraId="24C111CD"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83608">
        <w:rPr>
          <w:sz w:val="22"/>
          <w:szCs w:val="22"/>
        </w:rPr>
        <w:t>Discussion, Decision</w:t>
      </w:r>
    </w:p>
    <w:p w14:paraId="1DD4A9BC" w14:textId="77777777" w:rsidR="00E90E49" w:rsidRPr="00CE0424" w:rsidRDefault="00E90E49" w:rsidP="00E90E49"/>
    <w:p w14:paraId="028056FC" w14:textId="1BC5561E" w:rsidR="00E90E49" w:rsidRDefault="00230D18" w:rsidP="00CE0424">
      <w:pPr>
        <w:pStyle w:val="Heading1"/>
      </w:pPr>
      <w:r>
        <w:t>1</w:t>
      </w:r>
      <w:r>
        <w:tab/>
      </w:r>
      <w:r w:rsidR="00E90E49" w:rsidRPr="00CE0424">
        <w:t>Introduction</w:t>
      </w:r>
    </w:p>
    <w:p w14:paraId="7C858AD2" w14:textId="4D58B60B" w:rsidR="003267B7" w:rsidRDefault="00D437B6" w:rsidP="003267B7">
      <w:pPr>
        <w:rPr>
          <w:rFonts w:ascii="Arial" w:hAnsi="Arial"/>
          <w:lang w:eastAsia="zh-CN"/>
        </w:rPr>
      </w:pPr>
      <w:r>
        <w:rPr>
          <w:rFonts w:ascii="Arial" w:hAnsi="Arial"/>
          <w:lang w:eastAsia="zh-CN"/>
        </w:rPr>
        <w:t xml:space="preserve">RAN2 received the LS </w:t>
      </w:r>
      <w:r>
        <w:rPr>
          <w:rFonts w:ascii="Arial" w:hAnsi="Arial"/>
          <w:lang w:eastAsia="zh-CN"/>
        </w:rPr>
        <w:fldChar w:fldCharType="begin"/>
      </w:r>
      <w:r>
        <w:rPr>
          <w:rFonts w:ascii="Arial" w:hAnsi="Arial"/>
          <w:lang w:eastAsia="zh-CN"/>
        </w:rPr>
        <w:instrText xml:space="preserve"> REF _Ref130974317 \r \h </w:instrText>
      </w:r>
      <w:r>
        <w:rPr>
          <w:rFonts w:ascii="Arial" w:hAnsi="Arial"/>
          <w:lang w:eastAsia="zh-CN"/>
        </w:rPr>
      </w:r>
      <w:r>
        <w:rPr>
          <w:rFonts w:ascii="Arial" w:hAnsi="Arial"/>
          <w:lang w:eastAsia="zh-CN"/>
        </w:rPr>
        <w:fldChar w:fldCharType="separate"/>
      </w:r>
      <w:r>
        <w:rPr>
          <w:rFonts w:ascii="Arial" w:hAnsi="Arial"/>
          <w:lang w:eastAsia="zh-CN"/>
        </w:rPr>
        <w:t>[1]</w:t>
      </w:r>
      <w:r>
        <w:rPr>
          <w:rFonts w:ascii="Arial" w:hAnsi="Arial"/>
          <w:lang w:eastAsia="zh-CN"/>
        </w:rPr>
        <w:fldChar w:fldCharType="end"/>
      </w:r>
      <w:r>
        <w:rPr>
          <w:rFonts w:ascii="Arial" w:hAnsi="Arial"/>
          <w:lang w:eastAsia="zh-CN"/>
        </w:rPr>
        <w:t xml:space="preserve"> </w:t>
      </w:r>
      <w:r w:rsidR="00F62933">
        <w:rPr>
          <w:rFonts w:ascii="Arial" w:hAnsi="Arial"/>
          <w:lang w:eastAsia="zh-CN"/>
        </w:rPr>
        <w:t xml:space="preserve">from RAN3 </w:t>
      </w:r>
      <w:r>
        <w:rPr>
          <w:rFonts w:ascii="Arial" w:hAnsi="Arial"/>
          <w:lang w:eastAsia="zh-CN"/>
        </w:rPr>
        <w:t xml:space="preserve">on </w:t>
      </w:r>
      <w:r w:rsidR="00453FB8">
        <w:rPr>
          <w:rFonts w:ascii="Arial" w:hAnsi="Arial"/>
          <w:lang w:eastAsia="zh-CN"/>
        </w:rPr>
        <w:t xml:space="preserve">execution approaches </w:t>
      </w:r>
      <w:r w:rsidR="00B22AC6">
        <w:rPr>
          <w:rFonts w:ascii="Arial" w:hAnsi="Arial"/>
          <w:lang w:eastAsia="zh-CN"/>
        </w:rPr>
        <w:t xml:space="preserve">for inter-DU LTM, </w:t>
      </w:r>
      <w:r w:rsidR="00B51F37">
        <w:rPr>
          <w:rFonts w:ascii="Arial" w:hAnsi="Arial"/>
          <w:lang w:eastAsia="zh-CN"/>
        </w:rPr>
        <w:t>which</w:t>
      </w:r>
      <w:r w:rsidR="00453FB8">
        <w:rPr>
          <w:rFonts w:ascii="Arial" w:hAnsi="Arial"/>
          <w:lang w:eastAsia="zh-CN"/>
        </w:rPr>
        <w:t xml:space="preserve"> </w:t>
      </w:r>
      <w:r w:rsidR="006777FF">
        <w:rPr>
          <w:rFonts w:ascii="Arial" w:hAnsi="Arial"/>
          <w:lang w:eastAsia="zh-CN"/>
        </w:rPr>
        <w:t>reads as follows:</w:t>
      </w:r>
    </w:p>
    <w:tbl>
      <w:tblPr>
        <w:tblStyle w:val="TableGrid"/>
        <w:tblW w:w="0" w:type="auto"/>
        <w:tblLook w:val="04A0" w:firstRow="1" w:lastRow="0" w:firstColumn="1" w:lastColumn="0" w:noHBand="0" w:noVBand="1"/>
      </w:tblPr>
      <w:tblGrid>
        <w:gridCol w:w="9629"/>
      </w:tblGrid>
      <w:tr w:rsidR="006777FF" w14:paraId="2C5185CC" w14:textId="77777777" w:rsidTr="006777FF">
        <w:tc>
          <w:tcPr>
            <w:tcW w:w="9629" w:type="dxa"/>
          </w:tcPr>
          <w:p w14:paraId="559606DD" w14:textId="2FFB1C03" w:rsidR="007F742E" w:rsidRPr="00030CCE" w:rsidRDefault="007F742E" w:rsidP="007F742E">
            <w:pPr>
              <w:spacing w:after="120"/>
              <w:rPr>
                <w:rFonts w:ascii="Arial" w:hAnsi="Arial" w:cs="Arial"/>
                <w:i/>
                <w:iCs/>
                <w:sz w:val="20"/>
                <w:szCs w:val="20"/>
              </w:rPr>
            </w:pPr>
            <w:r w:rsidRPr="00030CCE">
              <w:rPr>
                <w:rFonts w:ascii="Arial" w:hAnsi="Arial" w:cs="Arial"/>
                <w:i/>
                <w:iCs/>
                <w:sz w:val="20"/>
                <w:szCs w:val="20"/>
              </w:rPr>
              <w:t xml:space="preserve">RAN3 has discussed the following two approaches to support inter-DU LTM cell switch during execution. </w:t>
            </w:r>
          </w:p>
          <w:p w14:paraId="7792205A"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1</w:t>
            </w:r>
            <w:r w:rsidRPr="00030CCE">
              <w:rPr>
                <w:rFonts w:cs="Arial"/>
                <w:i/>
                <w:iCs/>
                <w:sz w:val="20"/>
                <w:szCs w:val="20"/>
              </w:rPr>
              <w:t xml:space="preserve">: the serving </w:t>
            </w:r>
            <w:r w:rsidRPr="00030CCE">
              <w:rPr>
                <w:rFonts w:cs="Arial"/>
                <w:i/>
                <w:iCs/>
                <w:sz w:val="20"/>
                <w:szCs w:val="20"/>
                <w:lang w:eastAsia="en-GB"/>
              </w:rPr>
              <w:t>gNB-</w:t>
            </w:r>
            <w:r w:rsidRPr="00030CCE">
              <w:rPr>
                <w:rFonts w:cs="Arial"/>
                <w:i/>
                <w:iCs/>
                <w:sz w:val="20"/>
                <w:szCs w:val="20"/>
              </w:rPr>
              <w:t xml:space="preserve">DU triggers the execution by transmitting LTM cell switch command to the UE and then informs the </w:t>
            </w:r>
            <w:r w:rsidRPr="00030CCE">
              <w:rPr>
                <w:rFonts w:cs="Arial"/>
                <w:i/>
                <w:iCs/>
                <w:sz w:val="20"/>
                <w:szCs w:val="20"/>
                <w:lang w:eastAsia="en-GB"/>
              </w:rPr>
              <w:t>gNB-</w:t>
            </w:r>
            <w:r w:rsidRPr="00030CCE">
              <w:rPr>
                <w:rFonts w:cs="Arial"/>
                <w:i/>
                <w:iCs/>
                <w:sz w:val="20"/>
                <w:szCs w:val="20"/>
              </w:rPr>
              <w:t xml:space="preserve">CU of the serving cell switch. </w:t>
            </w:r>
          </w:p>
          <w:p w14:paraId="3BF01541" w14:textId="77777777" w:rsidR="007F742E" w:rsidRPr="00030CCE" w:rsidRDefault="007F742E" w:rsidP="007F742E">
            <w:pPr>
              <w:pStyle w:val="BodyText"/>
              <w:rPr>
                <w:rFonts w:cs="Arial"/>
                <w:i/>
                <w:iCs/>
                <w:sz w:val="20"/>
                <w:szCs w:val="20"/>
              </w:rPr>
            </w:pPr>
            <w:r w:rsidRPr="00030CCE">
              <w:rPr>
                <w:rFonts w:cs="Arial"/>
                <w:i/>
                <w:iCs/>
                <w:sz w:val="20"/>
                <w:szCs w:val="20"/>
                <w:u w:val="single"/>
              </w:rPr>
              <w:t>Approach 2</w:t>
            </w:r>
            <w:r w:rsidRPr="00030CCE">
              <w:rPr>
                <w:rFonts w:cs="Arial"/>
                <w:i/>
                <w:iCs/>
                <w:sz w:val="20"/>
                <w:szCs w:val="20"/>
              </w:rPr>
              <w:t xml:space="preserve">: </w:t>
            </w:r>
            <w:bookmarkStart w:id="0" w:name="_Hlk131606400"/>
            <w:r w:rsidRPr="00030CCE">
              <w:rPr>
                <w:rFonts w:cs="Arial"/>
                <w:i/>
                <w:iCs/>
                <w:sz w:val="20"/>
                <w:szCs w:val="20"/>
              </w:rPr>
              <w:t xml:space="preserve">the serving </w:t>
            </w:r>
            <w:r w:rsidRPr="00030CCE">
              <w:rPr>
                <w:rFonts w:cs="Arial"/>
                <w:i/>
                <w:iCs/>
                <w:sz w:val="20"/>
                <w:szCs w:val="20"/>
                <w:lang w:eastAsia="en-GB"/>
              </w:rPr>
              <w:t>gNB-</w:t>
            </w:r>
            <w:r w:rsidRPr="00030CCE">
              <w:rPr>
                <w:rFonts w:cs="Arial"/>
                <w:i/>
                <w:iCs/>
                <w:sz w:val="20"/>
                <w:szCs w:val="20"/>
              </w:rPr>
              <w:t xml:space="preserve">DU first requests information from target DU before </w:t>
            </w:r>
            <w:r w:rsidRPr="00030CCE">
              <w:rPr>
                <w:rFonts w:eastAsia="SimSun" w:cs="Arial"/>
                <w:bCs/>
                <w:i/>
                <w:iCs/>
                <w:sz w:val="20"/>
                <w:szCs w:val="20"/>
              </w:rPr>
              <w:t>triggering LTM</w:t>
            </w:r>
            <w:r w:rsidRPr="00030CCE">
              <w:rPr>
                <w:rFonts w:cs="Arial"/>
                <w:i/>
                <w:iCs/>
                <w:sz w:val="20"/>
                <w:szCs w:val="20"/>
              </w:rPr>
              <w:t xml:space="preserve"> cell switch command to the UE</w:t>
            </w:r>
            <w:bookmarkEnd w:id="0"/>
            <w:r w:rsidRPr="00030CCE">
              <w:rPr>
                <w:rFonts w:cs="Arial"/>
                <w:i/>
                <w:iCs/>
                <w:sz w:val="20"/>
                <w:szCs w:val="20"/>
              </w:rPr>
              <w:t>.</w:t>
            </w:r>
          </w:p>
          <w:p w14:paraId="6C12E7BF" w14:textId="7F1C583A" w:rsidR="006777FF" w:rsidRPr="00030CCE" w:rsidRDefault="007F742E" w:rsidP="00030CCE">
            <w:pPr>
              <w:pStyle w:val="BodyText"/>
              <w:rPr>
                <w:rFonts w:cs="Arial"/>
                <w:sz w:val="20"/>
                <w:szCs w:val="20"/>
              </w:rPr>
            </w:pPr>
            <w:r w:rsidRPr="00030CCE">
              <w:rPr>
                <w:rFonts w:cs="Arial"/>
                <w:i/>
                <w:iCs/>
                <w:sz w:val="20"/>
                <w:szCs w:val="20"/>
              </w:rPr>
              <w:t>RAN3 would like to get feedback from RAN2 about the above-mentioned approaches, and provide suggestion if there is any other possibility identified.</w:t>
            </w:r>
          </w:p>
        </w:tc>
      </w:tr>
    </w:tbl>
    <w:p w14:paraId="0C43EC8F" w14:textId="77777777" w:rsidR="006777FF" w:rsidRDefault="006777FF" w:rsidP="003267B7">
      <w:pPr>
        <w:rPr>
          <w:rFonts w:ascii="Arial" w:hAnsi="Arial"/>
          <w:lang w:eastAsia="zh-CN"/>
        </w:rPr>
      </w:pPr>
    </w:p>
    <w:p w14:paraId="62A5E882" w14:textId="6A6CE9F8" w:rsidR="006777FF" w:rsidRDefault="003F5F2D" w:rsidP="003267B7">
      <w:pPr>
        <w:rPr>
          <w:rFonts w:ascii="Arial" w:hAnsi="Arial"/>
          <w:lang w:eastAsia="zh-CN"/>
        </w:rPr>
      </w:pPr>
      <w:r>
        <w:rPr>
          <w:rFonts w:ascii="Arial" w:hAnsi="Arial"/>
          <w:lang w:eastAsia="zh-CN"/>
        </w:rPr>
        <w:t>This contribution</w:t>
      </w:r>
      <w:r w:rsidR="00F62933">
        <w:rPr>
          <w:rFonts w:ascii="Arial" w:hAnsi="Arial"/>
          <w:lang w:eastAsia="zh-CN"/>
        </w:rPr>
        <w:t xml:space="preserve"> addresses the above </w:t>
      </w:r>
      <w:r w:rsidR="00B36AA5">
        <w:rPr>
          <w:rFonts w:ascii="Arial" w:hAnsi="Arial"/>
          <w:lang w:eastAsia="zh-CN"/>
        </w:rPr>
        <w:t xml:space="preserve">incoming </w:t>
      </w:r>
      <w:r w:rsidR="00F62933">
        <w:rPr>
          <w:rFonts w:ascii="Arial" w:hAnsi="Arial"/>
          <w:lang w:eastAsia="zh-CN"/>
        </w:rPr>
        <w:t>LS and proposes a way forward.</w:t>
      </w:r>
    </w:p>
    <w:p w14:paraId="59E13DC4" w14:textId="77777777" w:rsidR="004000E8" w:rsidRPr="00CE0424" w:rsidRDefault="00230D18" w:rsidP="00CE0424">
      <w:pPr>
        <w:pStyle w:val="Heading1"/>
      </w:pPr>
      <w:bookmarkStart w:id="1" w:name="_Ref178064866"/>
      <w:r>
        <w:t>2</w:t>
      </w:r>
      <w:r>
        <w:tab/>
      </w:r>
      <w:r w:rsidR="004000E8" w:rsidRPr="00CE0424">
        <w:t>Discussion</w:t>
      </w:r>
      <w:bookmarkEnd w:id="1"/>
    </w:p>
    <w:p w14:paraId="236BC1FB" w14:textId="15D5EC9D" w:rsidR="00B92F61" w:rsidRDefault="00B92F61" w:rsidP="00B92F61">
      <w:pPr>
        <w:pStyle w:val="Heading2"/>
      </w:pPr>
      <w:r>
        <w:t>2.</w:t>
      </w:r>
      <w:r w:rsidR="00BE4009">
        <w:t>1</w:t>
      </w:r>
      <w:r>
        <w:tab/>
      </w:r>
      <w:r w:rsidR="00030CCE">
        <w:t>The i</w:t>
      </w:r>
      <w:r>
        <w:t>ntra-DU case</w:t>
      </w:r>
    </w:p>
    <w:p w14:paraId="33BAD01D" w14:textId="18FD0FCB" w:rsidR="00A56CCF" w:rsidRDefault="003A301B" w:rsidP="00CE0424">
      <w:pPr>
        <w:pStyle w:val="BodyText"/>
      </w:pPr>
      <w:r>
        <w:t>While the RAN3 LS specifically asks about the inter-DU case</w:t>
      </w:r>
      <w:r w:rsidR="00273B15">
        <w:t xml:space="preserve">, </w:t>
      </w:r>
      <w:r w:rsidR="00D37A42">
        <w:t xml:space="preserve">we would like to point out that </w:t>
      </w:r>
      <w:r w:rsidR="00273B15">
        <w:t>RAN2 previously</w:t>
      </w:r>
      <w:r w:rsidR="00C24083">
        <w:t xml:space="preserve"> concluded the following at RAN2#119-e:</w:t>
      </w:r>
    </w:p>
    <w:tbl>
      <w:tblPr>
        <w:tblStyle w:val="TableGrid"/>
        <w:tblW w:w="0" w:type="auto"/>
        <w:tblLook w:val="04A0" w:firstRow="1" w:lastRow="0" w:firstColumn="1" w:lastColumn="0" w:noHBand="0" w:noVBand="1"/>
      </w:tblPr>
      <w:tblGrid>
        <w:gridCol w:w="9629"/>
      </w:tblGrid>
      <w:tr w:rsidR="00E64A68" w14:paraId="16520E9B" w14:textId="77777777">
        <w:tc>
          <w:tcPr>
            <w:tcW w:w="9629" w:type="dxa"/>
          </w:tcPr>
          <w:p w14:paraId="394B3C38" w14:textId="77777777" w:rsidR="00E64A68" w:rsidRPr="00B03591" w:rsidRDefault="00E64A68">
            <w:pPr>
              <w:pStyle w:val="Agreement"/>
            </w:pPr>
            <w:bookmarkStart w:id="2" w:name="_Hlk127352934"/>
            <w:r w:rsidRPr="003F3BBB">
              <w:t xml:space="preserve">The design for intra-DU and inter-DU L1/L2-based mobility should share as much commonality as </w:t>
            </w:r>
            <w:r>
              <w:t>reasonable</w:t>
            </w:r>
            <w:r w:rsidRPr="003F3BBB">
              <w:t xml:space="preserve">. </w:t>
            </w:r>
            <w:r w:rsidRPr="004915DE">
              <w:rPr>
                <w:highlight w:val="yellow"/>
              </w:rPr>
              <w:t>FFS which aspects need to be different</w:t>
            </w:r>
            <w:bookmarkEnd w:id="2"/>
            <w:r w:rsidRPr="004915DE">
              <w:rPr>
                <w:highlight w:val="yellow"/>
              </w:rPr>
              <w:t>.</w:t>
            </w:r>
          </w:p>
        </w:tc>
      </w:tr>
    </w:tbl>
    <w:p w14:paraId="6507171D" w14:textId="77777777" w:rsidR="00E64A68" w:rsidRDefault="00E64A68" w:rsidP="00E64A68">
      <w:pPr>
        <w:pStyle w:val="BodyText"/>
      </w:pPr>
      <w:r>
        <w:t xml:space="preserve"> </w:t>
      </w:r>
    </w:p>
    <w:p w14:paraId="135843C6" w14:textId="7DE5934F" w:rsidR="00A32CDA" w:rsidRDefault="006D0D50" w:rsidP="00CE0424">
      <w:pPr>
        <w:pStyle w:val="BodyText"/>
      </w:pPr>
      <w:r>
        <w:t>We think that the intra-DU case</w:t>
      </w:r>
      <w:r w:rsidR="00851D1D">
        <w:t xml:space="preserve"> typically provides shorter latency than the inter-DU case</w:t>
      </w:r>
      <w:r w:rsidR="003F4EF4">
        <w:t xml:space="preserve"> </w:t>
      </w:r>
      <w:r w:rsidR="00702216">
        <w:t>(</w:t>
      </w:r>
      <w:r w:rsidR="00B97809">
        <w:t>e.g.,</w:t>
      </w:r>
      <w:r w:rsidR="00702216">
        <w:t xml:space="preserve"> no RLC re-establishment needed)</w:t>
      </w:r>
      <w:r w:rsidR="0049191D">
        <w:t xml:space="preserve">. Further, for the intra-DU case </w:t>
      </w:r>
      <w:r w:rsidR="00403D5D">
        <w:t xml:space="preserve">all </w:t>
      </w:r>
      <w:r w:rsidR="003F4EF4">
        <w:t xml:space="preserve">information </w:t>
      </w:r>
      <w:r w:rsidR="00D60186">
        <w:t>about the target cell</w:t>
      </w:r>
      <w:r w:rsidR="00403D5D">
        <w:t xml:space="preserve"> can be made </w:t>
      </w:r>
      <w:r w:rsidR="003F4EF4">
        <w:t xml:space="preserve">available </w:t>
      </w:r>
      <w:r w:rsidR="005870E1">
        <w:t>within the DU, including any dynamic information</w:t>
      </w:r>
      <w:r w:rsidR="00A32CDA">
        <w:t xml:space="preserve">. </w:t>
      </w:r>
      <w:r w:rsidR="0076459B">
        <w:t>Also, the DU is already aware of that the UE is coming</w:t>
      </w:r>
      <w:r w:rsidR="009228B4">
        <w:t xml:space="preserve"> when it triggers the cell </w:t>
      </w:r>
      <w:r w:rsidR="00B97809">
        <w:t>switch,</w:t>
      </w:r>
      <w:r w:rsidR="009228B4">
        <w:t xml:space="preserve"> so it </w:t>
      </w:r>
      <w:r w:rsidR="00532EF9">
        <w:t xml:space="preserve">is prepared for transmission and reception </w:t>
      </w:r>
      <w:r w:rsidR="008F5043">
        <w:t>to/from</w:t>
      </w:r>
      <w:r w:rsidR="009228B4">
        <w:t xml:space="preserve"> the UE</w:t>
      </w:r>
      <w:r w:rsidR="00D77D44">
        <w:t>.</w:t>
      </w:r>
      <w:r w:rsidR="00BE2D23">
        <w:t xml:space="preserve"> Then the DU </w:t>
      </w:r>
      <w:r w:rsidR="001D752E">
        <w:t>can avoid allocating resources well in advance (such as</w:t>
      </w:r>
      <w:r w:rsidR="00CD74B5">
        <w:t xml:space="preserve"> uplink resources for UE reception) but still have them ready </w:t>
      </w:r>
      <w:r w:rsidR="00264269">
        <w:t>when the UE arrives in the target cell.</w:t>
      </w:r>
    </w:p>
    <w:p w14:paraId="718D3CF9" w14:textId="3B77D6F8" w:rsidR="00623C72" w:rsidRDefault="00623C72" w:rsidP="00623C72">
      <w:pPr>
        <w:pStyle w:val="Observation"/>
      </w:pPr>
      <w:bookmarkStart w:id="3" w:name="_Toc131756982"/>
      <w:r>
        <w:t xml:space="preserve">In the intra-DU case, </w:t>
      </w:r>
      <w:bookmarkStart w:id="4" w:name="_Hlk130982759"/>
      <w:r>
        <w:t xml:space="preserve">the DU is aware of </w:t>
      </w:r>
      <w:r w:rsidR="00D92A04">
        <w:t xml:space="preserve">the </w:t>
      </w:r>
      <w:r>
        <w:t>UE is coming</w:t>
      </w:r>
      <w:r w:rsidR="00D92A04">
        <w:t xml:space="preserve"> at the</w:t>
      </w:r>
      <w:r w:rsidR="00AC634D">
        <w:t xml:space="preserve"> time LTM cell switch is executed. This</w:t>
      </w:r>
      <w:r w:rsidR="00BE2D23">
        <w:t xml:space="preserve"> enables shorter interruption without the extra cost of resource</w:t>
      </w:r>
      <w:r w:rsidR="00264269">
        <w:t>s</w:t>
      </w:r>
      <w:r w:rsidR="00BE2D23">
        <w:t xml:space="preserve"> </w:t>
      </w:r>
      <w:r w:rsidR="00264269">
        <w:t>allocated</w:t>
      </w:r>
      <w:r w:rsidR="00BE2D23">
        <w:t xml:space="preserve"> </w:t>
      </w:r>
      <w:r w:rsidR="00231494">
        <w:t>in advance within</w:t>
      </w:r>
      <w:r w:rsidR="00BE2D23">
        <w:t xml:space="preserve"> the target cell</w:t>
      </w:r>
      <w:bookmarkEnd w:id="4"/>
      <w:r w:rsidR="00BE2D23">
        <w:t>.</w:t>
      </w:r>
      <w:bookmarkEnd w:id="3"/>
    </w:p>
    <w:p w14:paraId="7E4FBDDF" w14:textId="3931C0A0" w:rsidR="00BA022D" w:rsidRDefault="00903292" w:rsidP="00CE0424">
      <w:pPr>
        <w:pStyle w:val="BodyText"/>
      </w:pPr>
      <w:r>
        <w:lastRenderedPageBreak/>
        <w:t>T</w:t>
      </w:r>
      <w:r w:rsidR="00DF0C54">
        <w:t>o further speed up the LTM cell switch procedure, additional (dynamic) information about the target cell can be provided to the UE. However, this would require that such information need to be provided</w:t>
      </w:r>
      <w:r w:rsidR="0049191D" w:rsidRPr="00DF0C54">
        <w:t xml:space="preserve"> in the LTM cell switch command</w:t>
      </w:r>
      <w:r w:rsidR="004144CA" w:rsidRPr="00DF0C54">
        <w:t>.</w:t>
      </w:r>
      <w:r w:rsidR="004144CA">
        <w:t xml:space="preserve"> </w:t>
      </w:r>
    </w:p>
    <w:p w14:paraId="2EA639E9" w14:textId="08F36B2A" w:rsidR="00C24083" w:rsidRDefault="004144CA" w:rsidP="00CE0424">
      <w:pPr>
        <w:pStyle w:val="BodyText"/>
      </w:pPr>
      <w:r>
        <w:t xml:space="preserve">Examples of such </w:t>
      </w:r>
      <w:r w:rsidR="00E1523E">
        <w:t xml:space="preserve">dynamic </w:t>
      </w:r>
      <w:r>
        <w:t xml:space="preserve">information </w:t>
      </w:r>
      <w:r w:rsidR="008209B9">
        <w:t xml:space="preserve">about target cell </w:t>
      </w:r>
      <w:r w:rsidR="001A67B9">
        <w:t xml:space="preserve">to further reduce the latency </w:t>
      </w:r>
      <w:r w:rsidR="00DF0C54">
        <w:t>are</w:t>
      </w:r>
      <w:r>
        <w:t>:</w:t>
      </w:r>
    </w:p>
    <w:p w14:paraId="368C460E" w14:textId="1A861933" w:rsidR="00AB3001" w:rsidRDefault="009879B0" w:rsidP="00E1523E">
      <w:pPr>
        <w:pStyle w:val="BodyText"/>
        <w:numPr>
          <w:ilvl w:val="0"/>
          <w:numId w:val="29"/>
        </w:numPr>
      </w:pPr>
      <w:r>
        <w:t>Beam information, such as i</w:t>
      </w:r>
      <w:r w:rsidR="00C1019D" w:rsidRPr="00C1019D">
        <w:t xml:space="preserve">nformation enabling the UE to determine the TCI state(s) to be activated in the target cell during the LTM cell </w:t>
      </w:r>
      <w:r w:rsidR="00DF0C54" w:rsidRPr="00C1019D">
        <w:t>switch.</w:t>
      </w:r>
    </w:p>
    <w:p w14:paraId="68B65054" w14:textId="5C849B55" w:rsidR="00A16156" w:rsidRDefault="00A16156" w:rsidP="00E1523E">
      <w:pPr>
        <w:pStyle w:val="BodyText"/>
        <w:numPr>
          <w:ilvl w:val="0"/>
          <w:numId w:val="29"/>
        </w:numPr>
      </w:pPr>
      <w:r>
        <w:t xml:space="preserve">Information for CFRA </w:t>
      </w:r>
      <w:r w:rsidR="00DF0C54">
        <w:t xml:space="preserve">LTM </w:t>
      </w:r>
      <w:r>
        <w:t>cell switch</w:t>
      </w:r>
      <w:r w:rsidR="00253486">
        <w:t xml:space="preserve">, such as </w:t>
      </w:r>
      <w:r w:rsidR="00253486" w:rsidRPr="00FC0575">
        <w:t>dedicated RACH preambles</w:t>
      </w:r>
      <w:r w:rsidR="00DF0C54">
        <w:t>.</w:t>
      </w:r>
    </w:p>
    <w:p w14:paraId="4046D022" w14:textId="1743F1D2" w:rsidR="00AB577C" w:rsidRDefault="00AB577C" w:rsidP="00E1523E">
      <w:pPr>
        <w:pStyle w:val="BodyText"/>
        <w:numPr>
          <w:ilvl w:val="0"/>
          <w:numId w:val="29"/>
        </w:numPr>
      </w:pPr>
      <w:r>
        <w:t xml:space="preserve">Information for RACH-less </w:t>
      </w:r>
      <w:r w:rsidR="00DF0C54">
        <w:t xml:space="preserve">LTM </w:t>
      </w:r>
      <w:r>
        <w:t xml:space="preserve">cell switch, such as </w:t>
      </w:r>
      <w:r w:rsidR="0029511F">
        <w:t xml:space="preserve">TA value, </w:t>
      </w:r>
      <w:r w:rsidR="00FC0575" w:rsidRPr="00FC0575">
        <w:t xml:space="preserve">and/or configured UL grants </w:t>
      </w:r>
      <w:r>
        <w:t>in the target cell</w:t>
      </w:r>
      <w:r w:rsidR="002D6859">
        <w:t xml:space="preserve">. </w:t>
      </w:r>
    </w:p>
    <w:p w14:paraId="1DA552A7" w14:textId="62F9873D" w:rsidR="00D37A42" w:rsidRDefault="00D37A42" w:rsidP="00D37A42">
      <w:pPr>
        <w:pStyle w:val="BodyText"/>
        <w:numPr>
          <w:ilvl w:val="0"/>
          <w:numId w:val="29"/>
        </w:numPr>
      </w:pPr>
      <w:r>
        <w:t>SCell activation/deactivation state in the target</w:t>
      </w:r>
      <w:r w:rsidR="00ED21E0">
        <w:t>. This does not speed up the switch as such but makes the UE more ready in the target</w:t>
      </w:r>
      <w:r w:rsidR="001B076E">
        <w:t xml:space="preserve"> as it avoids SCell activation after the switch.</w:t>
      </w:r>
    </w:p>
    <w:p w14:paraId="701E3341" w14:textId="297DF4EC" w:rsidR="00C24083" w:rsidRDefault="00EE0920" w:rsidP="006E2863">
      <w:pPr>
        <w:pStyle w:val="Observation"/>
      </w:pPr>
      <w:bookmarkStart w:id="5" w:name="_Toc131756983"/>
      <w:r>
        <w:t>In</w:t>
      </w:r>
      <w:r w:rsidR="000C6201">
        <w:t xml:space="preserve"> the intra-DU case, </w:t>
      </w:r>
      <w:r w:rsidR="004056CD">
        <w:t xml:space="preserve">it is possible to provide dynamic information </w:t>
      </w:r>
      <w:r>
        <w:t xml:space="preserve">about the target cell </w:t>
      </w:r>
      <w:r w:rsidR="004056CD">
        <w:t xml:space="preserve">to the UE to </w:t>
      </w:r>
      <w:r w:rsidR="0007705D">
        <w:t xml:space="preserve">further </w:t>
      </w:r>
      <w:r w:rsidR="004056CD">
        <w:t>reduce the latency.</w:t>
      </w:r>
      <w:r w:rsidR="0007705D">
        <w:t xml:space="preserve"> </w:t>
      </w:r>
      <w:r w:rsidR="00DF0C54">
        <w:t>However,</w:t>
      </w:r>
      <w:r w:rsidR="004D1A51">
        <w:t xml:space="preserve"> t</w:t>
      </w:r>
      <w:r w:rsidR="0007705D">
        <w:t xml:space="preserve">his </w:t>
      </w:r>
      <w:r w:rsidR="004D1A51">
        <w:t xml:space="preserve">would then require that this dynamic information </w:t>
      </w:r>
      <w:r w:rsidR="00DF0C54">
        <w:t>need to be</w:t>
      </w:r>
      <w:r w:rsidR="004D1A51">
        <w:t xml:space="preserve"> included in the LTM cell switch command.</w:t>
      </w:r>
      <w:bookmarkEnd w:id="5"/>
    </w:p>
    <w:p w14:paraId="701216D4" w14:textId="08A301A8" w:rsidR="003B5A04" w:rsidRDefault="00143B7D" w:rsidP="003B5A04">
      <w:pPr>
        <w:pStyle w:val="BodyText"/>
      </w:pPr>
      <w:r>
        <w:t xml:space="preserve">If we acknowledge that there is </w:t>
      </w:r>
      <w:r w:rsidRPr="00DF0C54">
        <w:t>dynamic information</w:t>
      </w:r>
      <w:r>
        <w:t xml:space="preserve"> that can be sent to the UE to speed up the LTM cell switch for the intra-DU case</w:t>
      </w:r>
      <w:r w:rsidR="00253486">
        <w:t xml:space="preserve"> and make the UE ready</w:t>
      </w:r>
      <w:r w:rsidR="00ED21E0">
        <w:t xml:space="preserve"> once in the target cell</w:t>
      </w:r>
      <w:r>
        <w:t xml:space="preserve">, </w:t>
      </w:r>
      <w:r w:rsidR="00B8740B">
        <w:t xml:space="preserve">we will see in the next section that </w:t>
      </w:r>
      <w:r>
        <w:t xml:space="preserve">the two </w:t>
      </w:r>
      <w:r w:rsidR="00B8740B">
        <w:t xml:space="preserve">execution </w:t>
      </w:r>
      <w:r>
        <w:t xml:space="preserve">approaches </w:t>
      </w:r>
      <w:r w:rsidR="00B8740B">
        <w:t xml:space="preserve">for the inter-DU case </w:t>
      </w:r>
      <w:r>
        <w:t>provide different level of supporting this information</w:t>
      </w:r>
      <w:r w:rsidR="00B8740B">
        <w:t>.</w:t>
      </w:r>
    </w:p>
    <w:p w14:paraId="10C472CE" w14:textId="0C541664" w:rsidR="006150EA" w:rsidRDefault="00E40907" w:rsidP="003B5A04">
      <w:pPr>
        <w:pStyle w:val="BodyText"/>
      </w:pPr>
      <w:r>
        <w:t>For reference, i</w:t>
      </w:r>
      <w:r w:rsidR="006150EA">
        <w:t xml:space="preserve">n the RAN3 </w:t>
      </w:r>
      <w:r>
        <w:t xml:space="preserve">38.401 </w:t>
      </w:r>
      <w:r w:rsidR="006150EA">
        <w:t>BLCR</w:t>
      </w:r>
      <w:r w:rsidR="0026346F">
        <w:t xml:space="preserve"> </w:t>
      </w:r>
      <w:r w:rsidR="0026346F">
        <w:fldChar w:fldCharType="begin"/>
      </w:r>
      <w:r w:rsidR="0026346F">
        <w:instrText xml:space="preserve"> REF _Ref130977230 \r \h </w:instrText>
      </w:r>
      <w:r w:rsidR="0026346F">
        <w:fldChar w:fldCharType="separate"/>
      </w:r>
      <w:r w:rsidR="0026346F">
        <w:t>[2]</w:t>
      </w:r>
      <w:r w:rsidR="0026346F">
        <w:fldChar w:fldCharType="end"/>
      </w:r>
      <w:r>
        <w:t xml:space="preserve">, the intra-DU case for LTM is illustrated </w:t>
      </w:r>
      <w:r w:rsidR="006A1B7C">
        <w:t xml:space="preserve">in </w:t>
      </w:r>
      <w:r w:rsidR="006A1B7C">
        <w:fldChar w:fldCharType="begin"/>
      </w:r>
      <w:r w:rsidR="006A1B7C">
        <w:instrText xml:space="preserve"> REF _Ref130977543 \h </w:instrText>
      </w:r>
      <w:r w:rsidR="006A1B7C">
        <w:fldChar w:fldCharType="separate"/>
      </w:r>
      <w:r w:rsidR="006A1B7C">
        <w:t xml:space="preserve">Figure </w:t>
      </w:r>
      <w:r w:rsidR="006A1B7C">
        <w:rPr>
          <w:noProof/>
        </w:rPr>
        <w:t>1</w:t>
      </w:r>
      <w:r w:rsidR="006A1B7C">
        <w:fldChar w:fldCharType="end"/>
      </w:r>
      <w:r w:rsidR="006A1B7C">
        <w:t xml:space="preserve"> </w:t>
      </w:r>
      <w:r>
        <w:t>as follows:</w:t>
      </w:r>
    </w:p>
    <w:p w14:paraId="3295D403" w14:textId="71BC24B3" w:rsidR="006150EA" w:rsidRDefault="00BD533E" w:rsidP="00BD533E">
      <w:pPr>
        <w:pStyle w:val="BodyText"/>
        <w:jc w:val="center"/>
        <w:rPr>
          <w:rFonts w:eastAsia="DengXian"/>
          <w:bCs/>
          <w:sz w:val="18"/>
        </w:rPr>
      </w:pPr>
      <w:r>
        <w:rPr>
          <w:rFonts w:eastAsia="DengXian"/>
          <w:bCs/>
          <w:noProof/>
          <w:sz w:val="18"/>
        </w:rPr>
      </w:r>
      <w:r w:rsidR="00BD533E">
        <w:rPr>
          <w:rFonts w:eastAsia="DengXian"/>
          <w:bCs/>
          <w:noProof/>
          <w:sz w:val="18"/>
        </w:rPr>
        <w:object w:dxaOrig="10820" w:dyaOrig="11260" w14:anchorId="59D8EA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376.65pt;height:394.55pt;mso-wrap-style:square;mso-width-percent:0;mso-height-percent:0;mso-position-horizontal-relative:page;mso-position-vertical-relative:page;mso-width-percent:0;mso-height-percent:0" o:ole="">
            <v:imagedata r:id="rId11" o:title=""/>
          </v:shape>
          <o:OLEObject Type="Embed" ProgID="Mscgen.Chart" ShapeID="_x0000_i1029" DrawAspect="Content" ObjectID="_1742370475" r:id="rId12"/>
        </w:object>
      </w:r>
    </w:p>
    <w:p w14:paraId="03A68722" w14:textId="70396FF3" w:rsidR="0026346F" w:rsidRPr="00607651" w:rsidRDefault="0026346F" w:rsidP="0026346F">
      <w:pPr>
        <w:pStyle w:val="Caption"/>
        <w:rPr>
          <w:rFonts w:eastAsia="DengXian"/>
          <w:bCs/>
          <w:sz w:val="18"/>
          <w:lang w:val="en-US"/>
        </w:rPr>
      </w:pPr>
      <w:bookmarkStart w:id="6" w:name="_Ref130977543"/>
      <w:r>
        <w:t xml:space="preserve">Figure </w:t>
      </w:r>
      <w:fldSimple w:instr=" SEQ Figure \* ARABIC ">
        <w:r>
          <w:rPr>
            <w:noProof/>
          </w:rPr>
          <w:t>1</w:t>
        </w:r>
      </w:fldSimple>
      <w:bookmarkEnd w:id="6"/>
      <w:r>
        <w:t xml:space="preserve">. </w:t>
      </w:r>
      <w:r w:rsidRPr="00607651">
        <w:rPr>
          <w:lang w:val="en-US"/>
        </w:rPr>
        <w:t>Intra-DU LTM (from 38.401 BLCR)</w:t>
      </w:r>
    </w:p>
    <w:p w14:paraId="79EF4C22" w14:textId="77777777" w:rsidR="0026346F" w:rsidRPr="00607651" w:rsidRDefault="0026346F" w:rsidP="003B5A04">
      <w:pPr>
        <w:pStyle w:val="BodyText"/>
        <w:rPr>
          <w:lang w:val="en-US"/>
        </w:rPr>
      </w:pPr>
    </w:p>
    <w:p w14:paraId="30021184" w14:textId="5C726837" w:rsidR="00A86F56" w:rsidRDefault="00A86F56" w:rsidP="00A86F56">
      <w:pPr>
        <w:pStyle w:val="Heading2"/>
      </w:pPr>
      <w:r>
        <w:lastRenderedPageBreak/>
        <w:t>2.</w:t>
      </w:r>
      <w:r w:rsidR="00BE4009">
        <w:t>2</w:t>
      </w:r>
      <w:r>
        <w:tab/>
      </w:r>
      <w:r w:rsidR="005F5D00">
        <w:t>The two execution approaches for the i</w:t>
      </w:r>
      <w:r>
        <w:t>nter-DU case</w:t>
      </w:r>
    </w:p>
    <w:p w14:paraId="37403305" w14:textId="07088C8B" w:rsidR="00480605" w:rsidRDefault="00C53884" w:rsidP="00CE0424">
      <w:pPr>
        <w:pStyle w:val="BodyText"/>
      </w:pPr>
      <w:r>
        <w:t>With the above in mind,</w:t>
      </w:r>
      <w:r w:rsidR="00096990">
        <w:t xml:space="preserve"> if we</w:t>
      </w:r>
      <w:r>
        <w:t xml:space="preserve"> </w:t>
      </w:r>
      <w:r w:rsidR="00884D8F">
        <w:t>turn to the inter-DU case, that RAN3 specifically asks about,</w:t>
      </w:r>
      <w:r w:rsidR="00096990">
        <w:t xml:space="preserve"> </w:t>
      </w:r>
      <w:r w:rsidR="00BE4009">
        <w:t xml:space="preserve">let’s </w:t>
      </w:r>
      <w:r w:rsidR="00527E44">
        <w:t>analyse</w:t>
      </w:r>
      <w:r w:rsidR="00BE4009">
        <w:t xml:space="preserve"> the two approaches based on our understanding of the signalling sequences</w:t>
      </w:r>
      <w:r w:rsidR="00BC7818">
        <w:t>.</w:t>
      </w:r>
      <w:r w:rsidR="00302622">
        <w:t xml:space="preserve"> </w:t>
      </w:r>
      <w:r w:rsidR="00DE57A4">
        <w:t>The main difference between the approaches is in which order the serving DU transmits the LTM cell switch command to the UE and informs the target candidate DU via the CU about the execution.</w:t>
      </w:r>
    </w:p>
    <w:p w14:paraId="2B0A57DC" w14:textId="5CD64939" w:rsidR="007C7E82" w:rsidRDefault="007D5E33" w:rsidP="007D5E33">
      <w:pPr>
        <w:pStyle w:val="BodyText"/>
        <w:ind w:left="360"/>
        <w:jc w:val="center"/>
      </w:pPr>
      <w:r>
        <w:rPr>
          <w:noProof/>
        </w:rPr>
      </w:r>
      <w:r w:rsidR="007D5E33">
        <w:rPr>
          <w:noProof/>
        </w:rPr>
        <w:object w:dxaOrig="14926" w:dyaOrig="13245" w14:anchorId="71E4B436">
          <v:shape id="_x0000_i1026" type="#_x0000_t75" alt="" style="width:429.1pt;height:381.65pt;mso-width-percent:0;mso-height-percent:0;mso-width-percent:0;mso-height-percent:0" o:ole="">
            <v:imagedata r:id="rId13" o:title=""/>
          </v:shape>
          <o:OLEObject Type="Embed" ProgID="Visio.Drawing.15" ShapeID="_x0000_i1026" DrawAspect="Content" ObjectID="_1742370473" r:id="rId14"/>
        </w:object>
      </w:r>
    </w:p>
    <w:p w14:paraId="694DF063" w14:textId="14DF2DF8" w:rsidR="002764E6" w:rsidRDefault="002764E6" w:rsidP="002764E6">
      <w:pPr>
        <w:pStyle w:val="Caption"/>
      </w:pPr>
      <w:bookmarkStart w:id="7" w:name="_Ref127443536"/>
      <w:r>
        <w:t xml:space="preserve">Figure </w:t>
      </w:r>
      <w:fldSimple w:instr=" SEQ Figure \* ARABIC ">
        <w:r w:rsidR="0026346F">
          <w:rPr>
            <w:noProof/>
          </w:rPr>
          <w:t>2</w:t>
        </w:r>
      </w:fldSimple>
      <w:bookmarkEnd w:id="7"/>
      <w:r>
        <w:t xml:space="preserve">. Approach 1 for LTM cell switch </w:t>
      </w:r>
      <w:r w:rsidR="00021E13">
        <w:t>execution</w:t>
      </w:r>
      <w:r w:rsidR="00856303">
        <w:t xml:space="preserve">. </w:t>
      </w:r>
      <w:r w:rsidR="00856303">
        <w:rPr>
          <w:rFonts w:cs="Arial"/>
        </w:rPr>
        <w:t>T</w:t>
      </w:r>
      <w:r w:rsidR="00856303" w:rsidRPr="003F5F2D">
        <w:rPr>
          <w:rFonts w:cs="Arial"/>
        </w:rPr>
        <w:t>he serving gNB-DU triggers the execution by transmitting LTM cell switch command to the UE and then informs the gNB-CU of the serving cell switch</w:t>
      </w:r>
      <w:r w:rsidR="00AE6613">
        <w:t>.</w:t>
      </w:r>
    </w:p>
    <w:p w14:paraId="1DAB427D" w14:textId="1BF868B4" w:rsidR="00AC278E" w:rsidRDefault="00AC278E" w:rsidP="00AC278E">
      <w:pPr>
        <w:pStyle w:val="BodyText"/>
      </w:pPr>
      <w:r w:rsidRPr="004C435D">
        <w:rPr>
          <w:b/>
          <w:bCs/>
          <w:u w:val="single"/>
        </w:rPr>
        <w:t>In approach 1</w:t>
      </w:r>
      <w:r w:rsidR="00D82C3A" w:rsidRPr="004C435D">
        <w:rPr>
          <w:b/>
          <w:bCs/>
          <w:u w:val="single"/>
        </w:rPr>
        <w:t xml:space="preserve"> (</w:t>
      </w:r>
      <w:r w:rsidR="000B51B8" w:rsidRPr="004C435D">
        <w:rPr>
          <w:b/>
          <w:bCs/>
          <w:u w:val="single"/>
        </w:rPr>
        <w:fldChar w:fldCharType="begin"/>
      </w:r>
      <w:r w:rsidR="000B51B8" w:rsidRPr="004C435D">
        <w:rPr>
          <w:b/>
          <w:bCs/>
          <w:u w:val="single"/>
        </w:rPr>
        <w:instrText xml:space="preserve"> REF _Ref127443536 \h </w:instrText>
      </w:r>
      <w:r w:rsidR="004C435D" w:rsidRPr="004C435D">
        <w:rPr>
          <w:b/>
          <w:bCs/>
          <w:u w:val="single"/>
        </w:rPr>
        <w:instrText xml:space="preserve"> \* MERGEFORMAT </w:instrText>
      </w:r>
      <w:r w:rsidR="000B51B8" w:rsidRPr="004C435D">
        <w:rPr>
          <w:b/>
          <w:bCs/>
          <w:u w:val="single"/>
        </w:rPr>
      </w:r>
      <w:r w:rsidR="000B51B8" w:rsidRPr="004C435D">
        <w:rPr>
          <w:b/>
          <w:bCs/>
          <w:u w:val="single"/>
        </w:rPr>
        <w:fldChar w:fldCharType="separate"/>
      </w:r>
      <w:r w:rsidR="000B51B8" w:rsidRPr="004C435D">
        <w:rPr>
          <w:b/>
          <w:bCs/>
          <w:u w:val="single"/>
        </w:rPr>
        <w:t xml:space="preserve">Figure </w:t>
      </w:r>
      <w:r w:rsidR="000B51B8" w:rsidRPr="004C435D">
        <w:rPr>
          <w:b/>
          <w:bCs/>
          <w:noProof/>
          <w:u w:val="single"/>
        </w:rPr>
        <w:t>2</w:t>
      </w:r>
      <w:r w:rsidR="000B51B8" w:rsidRPr="004C435D">
        <w:rPr>
          <w:b/>
          <w:bCs/>
          <w:u w:val="single"/>
        </w:rPr>
        <w:fldChar w:fldCharType="end"/>
      </w:r>
      <w:r w:rsidR="00D82C3A" w:rsidRPr="004C435D">
        <w:rPr>
          <w:b/>
          <w:bCs/>
          <w:u w:val="single"/>
        </w:rPr>
        <w:t>)</w:t>
      </w:r>
      <w:r w:rsidRPr="004C435D">
        <w:rPr>
          <w:b/>
          <w:bCs/>
          <w:u w:val="single"/>
        </w:rPr>
        <w:t>,</w:t>
      </w:r>
      <w:r>
        <w:t xml:space="preserve"> the serving DU informs the CU only after sending the LTM cell switch command to the UE. </w:t>
      </w:r>
      <w:r w:rsidR="000B51B8">
        <w:t xml:space="preserve">As illustrated in </w:t>
      </w:r>
      <w:r w:rsidR="000B51B8">
        <w:fldChar w:fldCharType="begin"/>
      </w:r>
      <w:r w:rsidR="000B51B8">
        <w:instrText xml:space="preserve"> REF _Ref127443536 \h </w:instrText>
      </w:r>
      <w:r w:rsidR="000B51B8">
        <w:fldChar w:fldCharType="separate"/>
      </w:r>
      <w:r w:rsidR="000B51B8">
        <w:t xml:space="preserve">Figure </w:t>
      </w:r>
      <w:r w:rsidR="000B51B8">
        <w:rPr>
          <w:noProof/>
        </w:rPr>
        <w:t>2</w:t>
      </w:r>
      <w:r w:rsidR="000B51B8">
        <w:fldChar w:fldCharType="end"/>
      </w:r>
      <w:r w:rsidR="000B51B8">
        <w:t>, t</w:t>
      </w:r>
      <w:r>
        <w:t xml:space="preserve">he CU may or may not inform the candidate DU as well. However, there </w:t>
      </w:r>
      <w:r w:rsidR="00B615B5">
        <w:t>is</w:t>
      </w:r>
      <w:r>
        <w:t xml:space="preserve"> a race condition </w:t>
      </w:r>
      <w:r w:rsidR="0013304E">
        <w:t>for when</w:t>
      </w:r>
      <w:r>
        <w:t xml:space="preserve"> the candidate DU becomes aware of the execution depende</w:t>
      </w:r>
      <w:r w:rsidR="0013304E">
        <w:t>nt</w:t>
      </w:r>
      <w:r>
        <w:t xml:space="preserve"> on </w:t>
      </w:r>
      <w:r w:rsidR="00220A8E">
        <w:t xml:space="preserve">UE vs network </w:t>
      </w:r>
      <w:r>
        <w:t>delays:</w:t>
      </w:r>
    </w:p>
    <w:p w14:paraId="4E2280DD" w14:textId="77049EC0" w:rsidR="00AC278E" w:rsidRDefault="00220A8E" w:rsidP="00AC278E">
      <w:pPr>
        <w:pStyle w:val="BodyText"/>
        <w:numPr>
          <w:ilvl w:val="0"/>
          <w:numId w:val="33"/>
        </w:numPr>
      </w:pPr>
      <w:r>
        <w:t xml:space="preserve">When the </w:t>
      </w:r>
      <w:r w:rsidR="00AC278E">
        <w:t>UE delay is shorter than the network delay: candidate DU becomes aware of execution by the UE arriving in target cell</w:t>
      </w:r>
      <w:r w:rsidR="00C61A92">
        <w:t>.</w:t>
      </w:r>
    </w:p>
    <w:p w14:paraId="1CB674C1" w14:textId="0AD5AB3F" w:rsidR="00AC278E" w:rsidRDefault="00220A8E" w:rsidP="00AC278E">
      <w:pPr>
        <w:pStyle w:val="BodyText"/>
        <w:numPr>
          <w:ilvl w:val="0"/>
          <w:numId w:val="33"/>
        </w:numPr>
      </w:pPr>
      <w:r>
        <w:t>When the n</w:t>
      </w:r>
      <w:r w:rsidR="00AC278E">
        <w:t>etwork delay is shorter than the UE delay: candidate DU becomes aware of execution by reception of an F1AP message from the CU.</w:t>
      </w:r>
    </w:p>
    <w:p w14:paraId="1EA9DB1E" w14:textId="77777777" w:rsidR="00AC278E" w:rsidRDefault="00AC278E" w:rsidP="00AC278E">
      <w:pPr>
        <w:pStyle w:val="BodyText"/>
      </w:pPr>
      <w:r>
        <w:t>As we should aim for the fastest possible LTM execution in the UE, we think that even if there are likely cases when the candidate DU is informed about the LTM execution by the CU before the UE arrives, in approach 1 the candidate DU needs to be prepared for and listen for the UE in the target cell already after the LTM candidate cell configuration was performed.</w:t>
      </w:r>
    </w:p>
    <w:p w14:paraId="7547E0EB" w14:textId="5D0F8B1F" w:rsidR="00AC278E" w:rsidRDefault="00AC278E" w:rsidP="00AC278E">
      <w:pPr>
        <w:pStyle w:val="Observation"/>
      </w:pPr>
      <w:bookmarkStart w:id="8" w:name="_Toc131756984"/>
      <w:r>
        <w:t xml:space="preserve">In approach 1, the candidate DU needs to be prepared for the UE arriving in target cell </w:t>
      </w:r>
      <w:r w:rsidR="00065FA8">
        <w:t>already</w:t>
      </w:r>
      <w:r>
        <w:t xml:space="preserve"> after LTM candidate cell configuration.</w:t>
      </w:r>
      <w:bookmarkEnd w:id="8"/>
    </w:p>
    <w:p w14:paraId="618C7B19" w14:textId="7867D116" w:rsidR="00AC278E" w:rsidRDefault="00AC278E" w:rsidP="00AC278E">
      <w:pPr>
        <w:pStyle w:val="BodyText"/>
      </w:pPr>
      <w:r>
        <w:lastRenderedPageBreak/>
        <w:t xml:space="preserve">Moreover, in approach 1, the information that can </w:t>
      </w:r>
      <w:r w:rsidR="00246013">
        <w:t>b</w:t>
      </w:r>
      <w:r w:rsidR="00AF5E55">
        <w:t xml:space="preserve">e </w:t>
      </w:r>
      <w:r>
        <w:t>provided in the LTM cell switch command to the UE would be limited to the information already known by the serving DU before it makes the decision to trigger LTM cell switch, and information that is allowed to be set. We assume that in approach 1, for example, the Serving DU should not be allowed to set state related information of the target candidate DU, such as SCell state(s), which would break a basic architecture principle.</w:t>
      </w:r>
    </w:p>
    <w:p w14:paraId="3FAED601" w14:textId="2EB05759" w:rsidR="00741A5D" w:rsidRDefault="00741A5D" w:rsidP="00741A5D">
      <w:pPr>
        <w:pStyle w:val="BodyText"/>
      </w:pPr>
      <w:r>
        <w:t>Therefore</w:t>
      </w:r>
      <w:r w:rsidRPr="005335A0">
        <w:t xml:space="preserve">, if </w:t>
      </w:r>
      <w:r>
        <w:t xml:space="preserve">only </w:t>
      </w:r>
      <w:r w:rsidRPr="005335A0">
        <w:t xml:space="preserve">approach </w:t>
      </w:r>
      <w:r>
        <w:t>1</w:t>
      </w:r>
      <w:r w:rsidRPr="005335A0">
        <w:t xml:space="preserve"> for execution </w:t>
      </w:r>
      <w:r>
        <w:t>would be</w:t>
      </w:r>
      <w:r w:rsidRPr="005335A0">
        <w:t xml:space="preserve"> supported, we think that the dynamic information in the LTM cell switch command should not be possible to include even for the intra-DU case. That would lead to restrictions on what an LTM cell switch command can include which will in turn affect the performance of intra-DU case</w:t>
      </w:r>
      <w:r>
        <w:t>.</w:t>
      </w:r>
    </w:p>
    <w:p w14:paraId="3154A913" w14:textId="77777777" w:rsidR="00741A5D" w:rsidRPr="004C04AD" w:rsidRDefault="00741A5D" w:rsidP="00741A5D">
      <w:pPr>
        <w:pStyle w:val="Observation"/>
      </w:pPr>
      <w:bookmarkStart w:id="9" w:name="_Toc131756985"/>
      <w:r>
        <w:t>If only approach 1 is supported, we need to put restrictions on which dynamic information that can be included into the LTM cell switch command, also for the intra-DU case.</w:t>
      </w:r>
      <w:bookmarkEnd w:id="9"/>
    </w:p>
    <w:p w14:paraId="6148C4B2" w14:textId="77777777" w:rsidR="00741A5D" w:rsidRDefault="00741A5D" w:rsidP="00AC278E">
      <w:pPr>
        <w:pStyle w:val="BodyText"/>
      </w:pPr>
    </w:p>
    <w:p w14:paraId="6E0BF3E2" w14:textId="77777777" w:rsidR="002764E6" w:rsidRDefault="002764E6" w:rsidP="002764E6">
      <w:pPr>
        <w:pStyle w:val="BodyText"/>
      </w:pPr>
    </w:p>
    <w:p w14:paraId="5B9810D9" w14:textId="67D2E8A0" w:rsidR="002764E6" w:rsidRDefault="007D5E33" w:rsidP="007D5E33">
      <w:pPr>
        <w:pStyle w:val="BodyText"/>
        <w:jc w:val="center"/>
      </w:pPr>
      <w:r>
        <w:rPr>
          <w:noProof/>
        </w:rPr>
      </w:r>
      <w:r w:rsidR="007D5E33">
        <w:rPr>
          <w:noProof/>
        </w:rPr>
        <w:object w:dxaOrig="14490" w:dyaOrig="13651" w14:anchorId="10CC64B0">
          <v:shape id="_x0000_i1027" type="#_x0000_t75" alt="" style="width:439.1pt;height:413.7pt;mso-width-percent:0;mso-height-percent:0;mso-width-percent:0;mso-height-percent:0" o:ole="">
            <v:imagedata r:id="rId15" o:title=""/>
          </v:shape>
          <o:OLEObject Type="Embed" ProgID="Visio.Drawing.15" ShapeID="_x0000_i1027" DrawAspect="Content" ObjectID="_1742370474" r:id="rId16"/>
        </w:object>
      </w:r>
    </w:p>
    <w:p w14:paraId="73CB3676" w14:textId="38DECFB9" w:rsidR="002764E6" w:rsidRDefault="002764E6" w:rsidP="002764E6">
      <w:pPr>
        <w:pStyle w:val="Caption"/>
      </w:pPr>
      <w:bookmarkStart w:id="10" w:name="_Ref126234846"/>
      <w:r>
        <w:t xml:space="preserve">Figure </w:t>
      </w:r>
      <w:fldSimple w:instr=" SEQ Figure \* ARABIC ">
        <w:r w:rsidR="0026346F">
          <w:rPr>
            <w:noProof/>
          </w:rPr>
          <w:t>3</w:t>
        </w:r>
      </w:fldSimple>
      <w:bookmarkEnd w:id="10"/>
      <w:r>
        <w:t xml:space="preserve">. Approach 2 for LTM cell switch </w:t>
      </w:r>
      <w:r w:rsidR="00021E13">
        <w:t>execution</w:t>
      </w:r>
      <w:r w:rsidR="00856303">
        <w:t xml:space="preserve">. </w:t>
      </w:r>
      <w:r w:rsidR="00856303">
        <w:rPr>
          <w:rFonts w:cs="Arial"/>
        </w:rPr>
        <w:t>T</w:t>
      </w:r>
      <w:r w:rsidR="00856303" w:rsidRPr="003F5F2D">
        <w:rPr>
          <w:rFonts w:cs="Arial"/>
        </w:rPr>
        <w:t xml:space="preserve">he serving gNB-DU first requests information from target DU before </w:t>
      </w:r>
      <w:r w:rsidR="00856303" w:rsidRPr="003F5F2D">
        <w:rPr>
          <w:rFonts w:eastAsia="SimSun" w:cs="Arial"/>
          <w:bCs/>
        </w:rPr>
        <w:t>triggering LTM</w:t>
      </w:r>
      <w:r w:rsidR="00856303" w:rsidRPr="003F5F2D">
        <w:rPr>
          <w:rFonts w:cs="Arial"/>
        </w:rPr>
        <w:t xml:space="preserve"> cell switch command to the UE</w:t>
      </w:r>
      <w:r w:rsidR="00856303">
        <w:rPr>
          <w:rFonts w:cs="Arial"/>
        </w:rPr>
        <w:t>.</w:t>
      </w:r>
    </w:p>
    <w:p w14:paraId="0AFB5DF0" w14:textId="300FDB68" w:rsidR="00B83330" w:rsidRDefault="004D2EF3" w:rsidP="004D2EF3">
      <w:pPr>
        <w:pStyle w:val="BodyText"/>
      </w:pPr>
      <w:r w:rsidRPr="004C435D">
        <w:rPr>
          <w:b/>
          <w:bCs/>
          <w:u w:val="single"/>
        </w:rPr>
        <w:t>In approach 2</w:t>
      </w:r>
      <w:r w:rsidR="00D82C3A" w:rsidRPr="004C435D">
        <w:rPr>
          <w:b/>
          <w:bCs/>
          <w:u w:val="single"/>
        </w:rPr>
        <w:t xml:space="preserve"> (Figure 3)</w:t>
      </w:r>
      <w:r w:rsidRPr="004C435D">
        <w:rPr>
          <w:b/>
          <w:bCs/>
          <w:u w:val="single"/>
        </w:rPr>
        <w:t>,</w:t>
      </w:r>
      <w:r>
        <w:t xml:space="preserve"> the triggering of LTM cell switch </w:t>
      </w:r>
      <w:r w:rsidR="00F33E86">
        <w:t>will</w:t>
      </w:r>
      <w:r>
        <w:t xml:space="preserve"> be somewhat delayed compared to approach 1</w:t>
      </w:r>
      <w:r w:rsidR="00D04A87">
        <w:t xml:space="preserve"> and this is a main drawback</w:t>
      </w:r>
      <w:r w:rsidR="00C400A3">
        <w:t xml:space="preserve"> with approach 2</w:t>
      </w:r>
      <w:r>
        <w:t xml:space="preserve">. </w:t>
      </w:r>
      <w:proofErr w:type="gramStart"/>
      <w:r w:rsidR="00C32AAE">
        <w:t>Considering also</w:t>
      </w:r>
      <w:proofErr w:type="gramEnd"/>
      <w:r w:rsidR="00C32AAE">
        <w:t xml:space="preserve"> the UE delay for LTM execution, this network delay before triggering would be added on top</w:t>
      </w:r>
      <w:r w:rsidR="00B83330">
        <w:t>, even if it does not negatively affect the interruption time.</w:t>
      </w:r>
      <w:r w:rsidR="00C32AAE">
        <w:t xml:space="preserve"> </w:t>
      </w:r>
    </w:p>
    <w:p w14:paraId="05EA9195" w14:textId="77777777" w:rsidR="00C400A3" w:rsidRDefault="00CA72AA" w:rsidP="004D2EF3">
      <w:pPr>
        <w:pStyle w:val="BodyText"/>
      </w:pPr>
      <w:r>
        <w:t xml:space="preserve">The </w:t>
      </w:r>
      <w:proofErr w:type="gramStart"/>
      <w:r>
        <w:t>round trip</w:t>
      </w:r>
      <w:proofErr w:type="gramEnd"/>
      <w:r>
        <w:t xml:space="preserve"> delay</w:t>
      </w:r>
      <w:r w:rsidR="004F0986">
        <w:t xml:space="preserve"> </w:t>
      </w:r>
      <w:r w:rsidR="003109FF">
        <w:t xml:space="preserve">for a single F1AP procedure depends on deployment and </w:t>
      </w:r>
      <w:r w:rsidR="00C52B67">
        <w:t xml:space="preserve">implementation but </w:t>
      </w:r>
      <w:r>
        <w:t xml:space="preserve">is typically </w:t>
      </w:r>
      <w:r w:rsidR="007073AD">
        <w:t xml:space="preserve">just </w:t>
      </w:r>
      <w:r w:rsidR="00D5152E">
        <w:t>a few</w:t>
      </w:r>
      <w:r>
        <w:t xml:space="preserve"> ms</w:t>
      </w:r>
      <w:r w:rsidR="00C52B67">
        <w:t>.</w:t>
      </w:r>
      <w:r w:rsidR="008D63FC">
        <w:t xml:space="preserve"> </w:t>
      </w:r>
      <w:r w:rsidR="00434E6F">
        <w:t xml:space="preserve"> </w:t>
      </w:r>
    </w:p>
    <w:p w14:paraId="7952D139" w14:textId="7B69A899" w:rsidR="00CA72AA" w:rsidRDefault="00813525" w:rsidP="004D2EF3">
      <w:pPr>
        <w:pStyle w:val="BodyText"/>
      </w:pPr>
      <w:r>
        <w:lastRenderedPageBreak/>
        <w:t xml:space="preserve">But a short latency before execution may on the other hand cause </w:t>
      </w:r>
      <w:r w:rsidR="00CA001C">
        <w:t xml:space="preserve">more ping pong which may not be desired for the inter-DU case. </w:t>
      </w:r>
      <w:proofErr w:type="gramStart"/>
      <w:r w:rsidR="00CA001C">
        <w:t>So</w:t>
      </w:r>
      <w:proofErr w:type="gramEnd"/>
      <w:r w:rsidR="00CA001C">
        <w:t xml:space="preserve"> we are not completely convinced that the shorter latency </w:t>
      </w:r>
      <w:r w:rsidR="00257AF3">
        <w:t>is so important for the inter-DU case</w:t>
      </w:r>
      <w:r w:rsidR="005E7024">
        <w:t xml:space="preserve"> of LTM</w:t>
      </w:r>
      <w:r w:rsidR="00606248">
        <w:t xml:space="preserve">. For example, the </w:t>
      </w:r>
      <w:r w:rsidR="00583675">
        <w:t xml:space="preserve">serving </w:t>
      </w:r>
      <w:r w:rsidR="00606248">
        <w:t xml:space="preserve">DU may want to </w:t>
      </w:r>
      <w:r w:rsidR="0099222B">
        <w:t>wait</w:t>
      </w:r>
      <w:r w:rsidR="00606248">
        <w:t xml:space="preserve"> more L1 measurement reports that confirm </w:t>
      </w:r>
      <w:r w:rsidR="0085786B">
        <w:t xml:space="preserve">that the candidate cell is the best to go to. Meanwhile, it can use the signalling in approach 2 to prepare the candidate for UE arrival </w:t>
      </w:r>
      <w:r w:rsidR="002D663D">
        <w:t>to</w:t>
      </w:r>
      <w:r w:rsidR="00D22FE1">
        <w:t xml:space="preserve"> have the LTM cell switch command ready to be sent</w:t>
      </w:r>
      <w:r w:rsidR="00AC278E">
        <w:t xml:space="preserve"> in case it decides to trigger a cell switch.</w:t>
      </w:r>
    </w:p>
    <w:p w14:paraId="2760E14B" w14:textId="3695310F" w:rsidR="00576592" w:rsidRDefault="00C400A3" w:rsidP="004D2EF3">
      <w:pPr>
        <w:pStyle w:val="BodyText"/>
      </w:pPr>
      <w:r>
        <w:t>This additional delay needs to be traded against the benefits of this approach</w:t>
      </w:r>
      <w:r w:rsidR="004D2EF3">
        <w:t xml:space="preserve">: </w:t>
      </w:r>
    </w:p>
    <w:p w14:paraId="2E8D19E6" w14:textId="622057D1" w:rsidR="00576592" w:rsidRDefault="0070301F" w:rsidP="00576592">
      <w:pPr>
        <w:pStyle w:val="BodyText"/>
        <w:numPr>
          <w:ilvl w:val="0"/>
          <w:numId w:val="31"/>
        </w:numPr>
      </w:pPr>
      <w:r>
        <w:t>P</w:t>
      </w:r>
      <w:r w:rsidR="004D2EF3">
        <w:t xml:space="preserve">ossibility for the CU </w:t>
      </w:r>
      <w:r w:rsidR="00E30A4E">
        <w:t>(</w:t>
      </w:r>
      <w:r w:rsidR="004D2EF3">
        <w:t>and candidate DU</w:t>
      </w:r>
      <w:r w:rsidR="00E30A4E">
        <w:t>)</w:t>
      </w:r>
      <w:r w:rsidR="004D2EF3">
        <w:t xml:space="preserve"> to reject </w:t>
      </w:r>
      <w:r w:rsidR="00E30A4E">
        <w:t xml:space="preserve">the LTM </w:t>
      </w:r>
      <w:r w:rsidR="004D2EF3">
        <w:t>execution</w:t>
      </w:r>
      <w:r w:rsidR="000669E2">
        <w:t>.</w:t>
      </w:r>
      <w:r>
        <w:t xml:space="preserve"> A network </w:t>
      </w:r>
      <w:r w:rsidR="00A35290">
        <w:t>implementation</w:t>
      </w:r>
      <w:r>
        <w:t xml:space="preserve"> may want the CU to </w:t>
      </w:r>
      <w:r w:rsidR="00A416D4">
        <w:t xml:space="preserve">be in </w:t>
      </w:r>
      <w:r>
        <w:t xml:space="preserve">control </w:t>
      </w:r>
      <w:r w:rsidR="00A416D4">
        <w:t xml:space="preserve">of </w:t>
      </w:r>
      <w:r>
        <w:t>inter-DU mobility</w:t>
      </w:r>
      <w:r w:rsidR="00A416D4">
        <w:t>, including inter-DU LTM.</w:t>
      </w:r>
    </w:p>
    <w:p w14:paraId="2AE43251" w14:textId="0A294EF8" w:rsidR="000669E2" w:rsidRDefault="0070301F" w:rsidP="00576592">
      <w:pPr>
        <w:pStyle w:val="BodyText"/>
        <w:numPr>
          <w:ilvl w:val="0"/>
          <w:numId w:val="31"/>
        </w:numPr>
      </w:pPr>
      <w:r>
        <w:t xml:space="preserve">Avoids race conditions between LTM cell switch and </w:t>
      </w:r>
      <w:r w:rsidR="00A416D4">
        <w:t xml:space="preserve">RRC procedures, including L3 </w:t>
      </w:r>
      <w:r w:rsidR="00332064">
        <w:t>mobility</w:t>
      </w:r>
      <w:r w:rsidR="00A35290">
        <w:t>. This is because</w:t>
      </w:r>
      <w:r w:rsidR="00FA5787">
        <w:t xml:space="preserve"> the CU may reject the LTM cell switch or postpone any preparation of an upcoming RRC procedure when receiving the indication from the serving DU of an imminent LTM cell switch.</w:t>
      </w:r>
    </w:p>
    <w:p w14:paraId="5CF82BBF" w14:textId="09FD7A63" w:rsidR="00576592" w:rsidRDefault="009A56AF" w:rsidP="00576592">
      <w:pPr>
        <w:pStyle w:val="BodyText"/>
        <w:numPr>
          <w:ilvl w:val="0"/>
          <w:numId w:val="31"/>
        </w:numPr>
      </w:pPr>
      <w:r>
        <w:t>P</w:t>
      </w:r>
      <w:r w:rsidR="004D2EF3">
        <w:t xml:space="preserve">ossibility to include </w:t>
      </w:r>
      <w:r w:rsidR="004D2EF3" w:rsidRPr="001E7741">
        <w:rPr>
          <w:b/>
          <w:u w:val="single"/>
        </w:rPr>
        <w:t>dynamic information</w:t>
      </w:r>
      <w:r w:rsidR="004D2EF3">
        <w:t xml:space="preserve"> in the LTM cell switch command, which should not be decided by the serving DU when it triggers LTM execution.</w:t>
      </w:r>
      <w:r w:rsidR="00B2077E">
        <w:t xml:space="preserve"> </w:t>
      </w:r>
      <w:r w:rsidR="00A71CCB">
        <w:t xml:space="preserve">This is the same type of dynamic information that </w:t>
      </w:r>
      <w:r w:rsidR="0077061D">
        <w:t xml:space="preserve">can be provided for the </w:t>
      </w:r>
      <w:r w:rsidR="0077061D" w:rsidRPr="0077061D">
        <w:rPr>
          <w:u w:val="single"/>
        </w:rPr>
        <w:t>intra-DU case</w:t>
      </w:r>
      <w:r w:rsidR="0077061D">
        <w:t>.</w:t>
      </w:r>
      <w:r w:rsidR="00967C2E">
        <w:t xml:space="preserve"> If we have an LTM cell switch command including the </w:t>
      </w:r>
      <w:r w:rsidR="00967C2E" w:rsidRPr="001E7741">
        <w:rPr>
          <w:b/>
          <w:bCs/>
          <w:u w:val="single"/>
        </w:rPr>
        <w:t xml:space="preserve">dynamic </w:t>
      </w:r>
      <w:r w:rsidR="00967C2E">
        <w:rPr>
          <w:b/>
          <w:bCs/>
          <w:u w:val="single"/>
        </w:rPr>
        <w:t>information</w:t>
      </w:r>
      <w:r w:rsidR="00967C2E" w:rsidRPr="004C04AD">
        <w:t xml:space="preserve"> (</w:t>
      </w:r>
      <w:r w:rsidR="00967C2E">
        <w:t xml:space="preserve">such as UL grant or TA) to support the intra-DU case, we think that the inter-node signalling should support the inclusion of this information also for the inter-DU case. </w:t>
      </w:r>
      <w:proofErr w:type="gramStart"/>
      <w:r w:rsidR="00967C2E">
        <w:t>Otherwise</w:t>
      </w:r>
      <w:proofErr w:type="gramEnd"/>
      <w:r w:rsidR="00967C2E">
        <w:t xml:space="preserve"> it would be very tricky, or even impossible, for the serving DU to include that information without negative consequences for the success of the LTM cell switch procedure.</w:t>
      </w:r>
    </w:p>
    <w:p w14:paraId="59E48064" w14:textId="2288976E" w:rsidR="004D2EF3" w:rsidRDefault="00332064" w:rsidP="00576592">
      <w:pPr>
        <w:pStyle w:val="BodyText"/>
        <w:numPr>
          <w:ilvl w:val="0"/>
          <w:numId w:val="31"/>
        </w:numPr>
      </w:pPr>
      <w:proofErr w:type="gramStart"/>
      <w:r>
        <w:t>S</w:t>
      </w:r>
      <w:r w:rsidR="00B2077E">
        <w:t>imilar to</w:t>
      </w:r>
      <w:proofErr w:type="gramEnd"/>
      <w:r w:rsidR="00B2077E">
        <w:t xml:space="preserve"> the intra-DU case, </w:t>
      </w:r>
      <w:r w:rsidR="00B2077E" w:rsidRPr="00B2077E">
        <w:t xml:space="preserve">the DU is already aware of that the UE is coming when it triggers the cell </w:t>
      </w:r>
      <w:r w:rsidR="0044345D" w:rsidRPr="00B2077E">
        <w:t>switch,</w:t>
      </w:r>
      <w:r w:rsidR="00B2077E" w:rsidRPr="00B2077E">
        <w:t xml:space="preserve"> so it is prepared for transmission and reception to/from the UE. Then the DU can avoid allocating resources </w:t>
      </w:r>
      <w:r w:rsidR="00C43C3A">
        <w:t>during the LTM candidate cell configuration</w:t>
      </w:r>
      <w:r w:rsidR="00B2077E" w:rsidRPr="00B2077E">
        <w:t xml:space="preserve"> (such as uplink resources for UE reception) but still have them ready </w:t>
      </w:r>
      <w:r w:rsidR="006812E6">
        <w:t xml:space="preserve">just in time </w:t>
      </w:r>
      <w:r w:rsidR="00B2077E" w:rsidRPr="00B2077E">
        <w:t>when the UE arrives in the target cell.</w:t>
      </w:r>
    </w:p>
    <w:p w14:paraId="3D3E72A3" w14:textId="7F3EBF0C" w:rsidR="006123D5" w:rsidRDefault="006123D5" w:rsidP="00B2077E">
      <w:pPr>
        <w:pStyle w:val="Observation"/>
      </w:pPr>
      <w:bookmarkStart w:id="11" w:name="_Toc127478533"/>
      <w:bookmarkStart w:id="12" w:name="_Toc131756986"/>
      <w:r>
        <w:t xml:space="preserve">Approach 2 for execution </w:t>
      </w:r>
      <w:r w:rsidR="00E30A4E">
        <w:t>enables the CU and candidate DU to reject the execution</w:t>
      </w:r>
      <w:r w:rsidR="00110A59">
        <w:t xml:space="preserve"> and avoids race conditions between LTM and RRC procedures such as L3 mobility</w:t>
      </w:r>
      <w:r w:rsidR="00E30A4E">
        <w:t>.</w:t>
      </w:r>
      <w:bookmarkEnd w:id="12"/>
    </w:p>
    <w:p w14:paraId="0B6307CD" w14:textId="7EC05A3A" w:rsidR="00B2077E" w:rsidRDefault="00D65E0D" w:rsidP="00B2077E">
      <w:pPr>
        <w:pStyle w:val="Observation"/>
      </w:pPr>
      <w:bookmarkStart w:id="13" w:name="_Toc131756987"/>
      <w:r>
        <w:t>In a</w:t>
      </w:r>
      <w:r w:rsidR="00B2077E">
        <w:t>pproach 2 for execution (</w:t>
      </w:r>
      <w:r w:rsidR="00B2077E" w:rsidRPr="009F69C4">
        <w:t>LTM triggering with target candidate DU involvement</w:t>
      </w:r>
      <w:r w:rsidR="00B2077E">
        <w:t>)</w:t>
      </w:r>
      <w:r w:rsidR="00632F8A">
        <w:t xml:space="preserve">, just as </w:t>
      </w:r>
      <w:r>
        <w:t>in</w:t>
      </w:r>
      <w:r w:rsidR="00632F8A">
        <w:t xml:space="preserve"> the intra-DU case</w:t>
      </w:r>
      <w:r>
        <w:t>,</w:t>
      </w:r>
      <w:r w:rsidR="00B2077E">
        <w:t xml:space="preserve"> </w:t>
      </w:r>
      <w:r>
        <w:t>it is possible</w:t>
      </w:r>
      <w:r w:rsidR="00B2077E">
        <w:t xml:space="preserve"> </w:t>
      </w:r>
      <w:r>
        <w:t>to include</w:t>
      </w:r>
      <w:r w:rsidR="00B2077E">
        <w:t xml:space="preserve"> dynamic information</w:t>
      </w:r>
      <w:r>
        <w:t xml:space="preserve"> </w:t>
      </w:r>
      <w:r w:rsidR="00B2077E">
        <w:t>in the LTM cell switch command.</w:t>
      </w:r>
      <w:bookmarkEnd w:id="11"/>
      <w:bookmarkEnd w:id="13"/>
    </w:p>
    <w:p w14:paraId="6E76BCAD" w14:textId="76932649" w:rsidR="002D564B" w:rsidRDefault="002D564B" w:rsidP="002D564B">
      <w:pPr>
        <w:pStyle w:val="Observation"/>
      </w:pPr>
      <w:bookmarkStart w:id="14" w:name="_Toc131756988"/>
      <w:r>
        <w:t xml:space="preserve">In approach 2 for execution, </w:t>
      </w:r>
      <w:r w:rsidR="00405A8F">
        <w:t>just as in the intra-DU case,</w:t>
      </w:r>
      <w:r w:rsidR="00405A8F" w:rsidRPr="00E724AD">
        <w:t xml:space="preserve"> </w:t>
      </w:r>
      <w:r w:rsidRPr="00E724AD">
        <w:t xml:space="preserve">the </w:t>
      </w:r>
      <w:r>
        <w:t xml:space="preserve">target </w:t>
      </w:r>
      <w:r w:rsidRPr="00E724AD">
        <w:t xml:space="preserve">DU is aware of </w:t>
      </w:r>
      <w:r w:rsidR="00405A8F">
        <w:t xml:space="preserve">that </w:t>
      </w:r>
      <w:r w:rsidRPr="00E724AD">
        <w:t xml:space="preserve">the UE is </w:t>
      </w:r>
      <w:r w:rsidR="00405A8F">
        <w:t>about to arrive</w:t>
      </w:r>
      <w:r w:rsidRPr="00E724AD">
        <w:t xml:space="preserve"> at the time LTM cell switch is executed. This </w:t>
      </w:r>
      <w:r w:rsidR="009D20C6">
        <w:t xml:space="preserve">enables the candidate DU to </w:t>
      </w:r>
      <w:r w:rsidR="009D20C6" w:rsidRPr="00E724AD">
        <w:t>allocate</w:t>
      </w:r>
      <w:r w:rsidR="009D20C6">
        <w:t xml:space="preserve"> </w:t>
      </w:r>
      <w:r w:rsidRPr="00E724AD">
        <w:t>resources in the target cell</w:t>
      </w:r>
      <w:r w:rsidR="00B732E1">
        <w:t xml:space="preserve"> later</w:t>
      </w:r>
      <w:r>
        <w:t>.</w:t>
      </w:r>
      <w:bookmarkEnd w:id="14"/>
    </w:p>
    <w:p w14:paraId="1B875F04" w14:textId="4124C3F8" w:rsidR="00971BBC" w:rsidRDefault="00AD5908" w:rsidP="002D564B">
      <w:pPr>
        <w:pStyle w:val="Observation"/>
      </w:pPr>
      <w:bookmarkStart w:id="15" w:name="_Toc131756989"/>
      <w:r>
        <w:t>When using a</w:t>
      </w:r>
      <w:r w:rsidR="00971BBC">
        <w:t>pproach 2 for execution</w:t>
      </w:r>
      <w:r>
        <w:t>,</w:t>
      </w:r>
      <w:r w:rsidR="00971BBC">
        <w:t xml:space="preserve"> the </w:t>
      </w:r>
      <w:r w:rsidR="00A67612">
        <w:t>latency before LTM cell switch is triggered</w:t>
      </w:r>
      <w:r w:rsidR="00971BBC">
        <w:t xml:space="preserve"> </w:t>
      </w:r>
      <w:r w:rsidR="00A67612">
        <w:t>is increased</w:t>
      </w:r>
      <w:r w:rsidR="004F0986">
        <w:t xml:space="preserve"> with </w:t>
      </w:r>
      <w:r w:rsidR="00F87E40">
        <w:t>two</w:t>
      </w:r>
      <w:r w:rsidR="004F0986">
        <w:t xml:space="preserve"> F1AP round trip</w:t>
      </w:r>
      <w:r w:rsidR="00BE0767">
        <w:t xml:space="preserve"> procedure</w:t>
      </w:r>
      <w:r w:rsidR="004F0986">
        <w:t xml:space="preserve"> delay</w:t>
      </w:r>
      <w:r w:rsidR="00F87E40">
        <w:t>s</w:t>
      </w:r>
      <w:r>
        <w:t>.</w:t>
      </w:r>
      <w:bookmarkEnd w:id="15"/>
    </w:p>
    <w:p w14:paraId="209A144D" w14:textId="77777777" w:rsidR="005F5D00" w:rsidRDefault="005F5D00" w:rsidP="004D2EF3">
      <w:pPr>
        <w:pStyle w:val="BodyText"/>
      </w:pPr>
    </w:p>
    <w:p w14:paraId="6038EEC5" w14:textId="1F126ADB" w:rsidR="00441453" w:rsidRDefault="0061659B" w:rsidP="004D2EF3">
      <w:pPr>
        <w:pStyle w:val="BodyText"/>
      </w:pPr>
      <w:r>
        <w:t xml:space="preserve">The discussion above illustrates that </w:t>
      </w:r>
      <w:r w:rsidR="00784A28">
        <w:t>both approaches have pros and cons</w:t>
      </w:r>
      <w:r w:rsidR="00167D55">
        <w:t>, as summarized below</w:t>
      </w:r>
      <w:r w:rsidR="008F2662">
        <w:t xml:space="preserve">. </w:t>
      </w:r>
    </w:p>
    <w:p w14:paraId="320D1C8E" w14:textId="1C93EDF5" w:rsidR="00F74693" w:rsidRDefault="00F74693" w:rsidP="00F74693">
      <w:pPr>
        <w:pStyle w:val="Caption"/>
        <w:jc w:val="center"/>
      </w:pPr>
      <w:r>
        <w:t xml:space="preserve">Table </w:t>
      </w:r>
      <w:fldSimple w:instr=" SEQ Table \* ARABIC ">
        <w:r>
          <w:rPr>
            <w:noProof/>
          </w:rPr>
          <w:t>1</w:t>
        </w:r>
      </w:fldSimple>
      <w:r>
        <w:t>. Comparison between the two execution approaches</w:t>
      </w:r>
    </w:p>
    <w:tbl>
      <w:tblPr>
        <w:tblStyle w:val="TableGrid"/>
        <w:tblW w:w="5000" w:type="pct"/>
        <w:tblLook w:val="04A0" w:firstRow="1" w:lastRow="0" w:firstColumn="1" w:lastColumn="0" w:noHBand="0" w:noVBand="1"/>
      </w:tblPr>
      <w:tblGrid>
        <w:gridCol w:w="1122"/>
        <w:gridCol w:w="1414"/>
        <w:gridCol w:w="1837"/>
        <w:gridCol w:w="1429"/>
        <w:gridCol w:w="1117"/>
        <w:gridCol w:w="1504"/>
        <w:gridCol w:w="1206"/>
      </w:tblGrid>
      <w:tr w:rsidR="005F5D00" w14:paraId="284D5B12" w14:textId="77777777" w:rsidTr="004C55BB">
        <w:tc>
          <w:tcPr>
            <w:tcW w:w="583" w:type="pct"/>
          </w:tcPr>
          <w:p w14:paraId="58E7F285" w14:textId="77777777" w:rsidR="005F5D00" w:rsidRPr="001D2761" w:rsidRDefault="005F5D00" w:rsidP="00937E7A">
            <w:pPr>
              <w:pStyle w:val="BodyText"/>
              <w:jc w:val="left"/>
              <w:rPr>
                <w:sz w:val="20"/>
                <w:szCs w:val="20"/>
              </w:rPr>
            </w:pPr>
          </w:p>
        </w:tc>
        <w:tc>
          <w:tcPr>
            <w:tcW w:w="735" w:type="pct"/>
            <w:tcBorders>
              <w:bottom w:val="single" w:sz="4" w:space="0" w:color="auto"/>
            </w:tcBorders>
          </w:tcPr>
          <w:p w14:paraId="554FB839" w14:textId="08EF02EE" w:rsidR="005F5D00" w:rsidRPr="001D2761" w:rsidRDefault="005F5D00" w:rsidP="00937E7A">
            <w:pPr>
              <w:pStyle w:val="BodyText"/>
              <w:jc w:val="left"/>
              <w:rPr>
                <w:sz w:val="20"/>
                <w:szCs w:val="20"/>
              </w:rPr>
            </w:pPr>
            <w:r>
              <w:rPr>
                <w:sz w:val="20"/>
                <w:szCs w:val="20"/>
              </w:rPr>
              <w:t>Latency before triggering</w:t>
            </w:r>
          </w:p>
        </w:tc>
        <w:tc>
          <w:tcPr>
            <w:tcW w:w="954" w:type="pct"/>
          </w:tcPr>
          <w:p w14:paraId="6E5B4FBA" w14:textId="74AFB67A" w:rsidR="005F5D00" w:rsidRPr="001D2761" w:rsidRDefault="005F5D00" w:rsidP="00937E7A">
            <w:pPr>
              <w:pStyle w:val="BodyText"/>
              <w:jc w:val="left"/>
              <w:rPr>
                <w:sz w:val="20"/>
                <w:szCs w:val="20"/>
              </w:rPr>
            </w:pPr>
            <w:r>
              <w:rPr>
                <w:sz w:val="20"/>
                <w:szCs w:val="20"/>
              </w:rPr>
              <w:t>Dynamic information in LTM cell switch command</w:t>
            </w:r>
          </w:p>
        </w:tc>
        <w:tc>
          <w:tcPr>
            <w:tcW w:w="742" w:type="pct"/>
          </w:tcPr>
          <w:p w14:paraId="400E776D" w14:textId="243E76AD" w:rsidR="005F5D00" w:rsidRPr="001D2761" w:rsidRDefault="005F5D00" w:rsidP="00937E7A">
            <w:pPr>
              <w:pStyle w:val="BodyText"/>
              <w:jc w:val="left"/>
              <w:rPr>
                <w:sz w:val="20"/>
                <w:szCs w:val="20"/>
              </w:rPr>
            </w:pPr>
            <w:r>
              <w:rPr>
                <w:sz w:val="20"/>
                <w:szCs w:val="20"/>
              </w:rPr>
              <w:t>CU/candidate DU can reject execution</w:t>
            </w:r>
          </w:p>
        </w:tc>
        <w:tc>
          <w:tcPr>
            <w:tcW w:w="580" w:type="pct"/>
          </w:tcPr>
          <w:p w14:paraId="68BFE0D1" w14:textId="17E4B11A" w:rsidR="005F5D00" w:rsidRPr="005419A6" w:rsidRDefault="005419A6" w:rsidP="00937E7A">
            <w:pPr>
              <w:pStyle w:val="BodyText"/>
              <w:jc w:val="left"/>
              <w:rPr>
                <w:sz w:val="20"/>
                <w:szCs w:val="20"/>
              </w:rPr>
            </w:pPr>
            <w:r w:rsidRPr="005419A6">
              <w:rPr>
                <w:sz w:val="20"/>
                <w:szCs w:val="20"/>
              </w:rPr>
              <w:t>Avoids race conditions</w:t>
            </w:r>
          </w:p>
        </w:tc>
        <w:tc>
          <w:tcPr>
            <w:tcW w:w="781" w:type="pct"/>
          </w:tcPr>
          <w:p w14:paraId="060856F6" w14:textId="711FB717" w:rsidR="005F5D00" w:rsidRPr="001D2761" w:rsidRDefault="005F5D00" w:rsidP="00937E7A">
            <w:pPr>
              <w:pStyle w:val="BodyText"/>
              <w:jc w:val="left"/>
              <w:rPr>
                <w:sz w:val="20"/>
                <w:szCs w:val="20"/>
              </w:rPr>
            </w:pPr>
            <w:r>
              <w:rPr>
                <w:sz w:val="20"/>
                <w:szCs w:val="20"/>
              </w:rPr>
              <w:t>Reservation of radio resources in target cell</w:t>
            </w:r>
          </w:p>
        </w:tc>
        <w:tc>
          <w:tcPr>
            <w:tcW w:w="626" w:type="pct"/>
            <w:tcBorders>
              <w:bottom w:val="single" w:sz="4" w:space="0" w:color="auto"/>
            </w:tcBorders>
          </w:tcPr>
          <w:p w14:paraId="6311433D" w14:textId="4629298D" w:rsidR="005F5D00" w:rsidRPr="001D2761" w:rsidRDefault="005F5D00" w:rsidP="004D2EF3">
            <w:pPr>
              <w:pStyle w:val="BodyText"/>
              <w:rPr>
                <w:sz w:val="20"/>
                <w:szCs w:val="20"/>
              </w:rPr>
            </w:pPr>
            <w:r>
              <w:rPr>
                <w:sz w:val="20"/>
                <w:szCs w:val="20"/>
              </w:rPr>
              <w:t>Complexity</w:t>
            </w:r>
          </w:p>
        </w:tc>
      </w:tr>
      <w:tr w:rsidR="005F5D00" w14:paraId="48C9EF0C" w14:textId="77777777" w:rsidTr="004C55BB">
        <w:tc>
          <w:tcPr>
            <w:tcW w:w="583" w:type="pct"/>
          </w:tcPr>
          <w:p w14:paraId="3AAB8832" w14:textId="487682D7" w:rsidR="005F5D00" w:rsidRPr="001D2761" w:rsidRDefault="005F5D00" w:rsidP="00937E7A">
            <w:pPr>
              <w:pStyle w:val="BodyText"/>
              <w:jc w:val="left"/>
              <w:rPr>
                <w:sz w:val="20"/>
                <w:szCs w:val="20"/>
              </w:rPr>
            </w:pPr>
            <w:r w:rsidRPr="001D2761">
              <w:rPr>
                <w:sz w:val="20"/>
                <w:szCs w:val="20"/>
              </w:rPr>
              <w:t>Approach 1</w:t>
            </w:r>
          </w:p>
        </w:tc>
        <w:tc>
          <w:tcPr>
            <w:tcW w:w="735" w:type="pct"/>
            <w:shd w:val="clear" w:color="auto" w:fill="92D050"/>
          </w:tcPr>
          <w:p w14:paraId="6194CB04" w14:textId="1C440FAC" w:rsidR="005F5D00" w:rsidRPr="001D2761" w:rsidRDefault="0038669A" w:rsidP="00937E7A">
            <w:pPr>
              <w:pStyle w:val="BodyText"/>
              <w:jc w:val="left"/>
              <w:rPr>
                <w:sz w:val="20"/>
                <w:szCs w:val="20"/>
              </w:rPr>
            </w:pPr>
            <w:r w:rsidRPr="00D7479D">
              <w:rPr>
                <w:sz w:val="20"/>
                <w:szCs w:val="20"/>
                <w:lang w:val="en-US"/>
              </w:rPr>
              <w:t>Almost</w:t>
            </w:r>
            <w:r>
              <w:rPr>
                <w:sz w:val="20"/>
                <w:szCs w:val="20"/>
              </w:rPr>
              <w:t xml:space="preserve"> no latency</w:t>
            </w:r>
          </w:p>
        </w:tc>
        <w:tc>
          <w:tcPr>
            <w:tcW w:w="954" w:type="pct"/>
            <w:tcBorders>
              <w:bottom w:val="single" w:sz="4" w:space="0" w:color="auto"/>
            </w:tcBorders>
          </w:tcPr>
          <w:p w14:paraId="243D4507" w14:textId="30DD9939" w:rsidR="005F5D00" w:rsidRPr="001D2761" w:rsidRDefault="005F5D00" w:rsidP="00937E7A">
            <w:pPr>
              <w:pStyle w:val="BodyText"/>
              <w:jc w:val="left"/>
              <w:rPr>
                <w:sz w:val="20"/>
                <w:szCs w:val="20"/>
              </w:rPr>
            </w:pPr>
            <w:r>
              <w:rPr>
                <w:sz w:val="20"/>
                <w:szCs w:val="20"/>
              </w:rPr>
              <w:t>Limited</w:t>
            </w:r>
          </w:p>
        </w:tc>
        <w:tc>
          <w:tcPr>
            <w:tcW w:w="742" w:type="pct"/>
            <w:tcBorders>
              <w:bottom w:val="single" w:sz="4" w:space="0" w:color="auto"/>
            </w:tcBorders>
          </w:tcPr>
          <w:p w14:paraId="5D8DD896" w14:textId="5074630A" w:rsidR="005F5D00" w:rsidRPr="001D2761" w:rsidRDefault="005F5D00" w:rsidP="00937E7A">
            <w:pPr>
              <w:pStyle w:val="BodyText"/>
              <w:jc w:val="left"/>
              <w:rPr>
                <w:sz w:val="20"/>
                <w:szCs w:val="20"/>
              </w:rPr>
            </w:pPr>
            <w:r>
              <w:rPr>
                <w:sz w:val="20"/>
                <w:szCs w:val="20"/>
              </w:rPr>
              <w:t>No</w:t>
            </w:r>
          </w:p>
        </w:tc>
        <w:tc>
          <w:tcPr>
            <w:tcW w:w="580" w:type="pct"/>
            <w:tcBorders>
              <w:bottom w:val="single" w:sz="4" w:space="0" w:color="auto"/>
            </w:tcBorders>
          </w:tcPr>
          <w:p w14:paraId="5B7714EB" w14:textId="7CB6D007" w:rsidR="005F5D00" w:rsidRPr="005419A6" w:rsidRDefault="005419A6" w:rsidP="00937E7A">
            <w:pPr>
              <w:pStyle w:val="BodyText"/>
              <w:jc w:val="left"/>
              <w:rPr>
                <w:sz w:val="20"/>
                <w:szCs w:val="20"/>
              </w:rPr>
            </w:pPr>
            <w:r>
              <w:rPr>
                <w:sz w:val="20"/>
                <w:szCs w:val="20"/>
              </w:rPr>
              <w:t>Limited</w:t>
            </w:r>
          </w:p>
        </w:tc>
        <w:tc>
          <w:tcPr>
            <w:tcW w:w="781" w:type="pct"/>
            <w:tcBorders>
              <w:bottom w:val="single" w:sz="4" w:space="0" w:color="auto"/>
            </w:tcBorders>
          </w:tcPr>
          <w:p w14:paraId="25BAD16E" w14:textId="11FABED1" w:rsidR="005F5D00" w:rsidRPr="001D2761" w:rsidRDefault="005F5D00" w:rsidP="00937E7A">
            <w:pPr>
              <w:pStyle w:val="BodyText"/>
              <w:jc w:val="left"/>
              <w:rPr>
                <w:sz w:val="20"/>
                <w:szCs w:val="20"/>
              </w:rPr>
            </w:pPr>
            <w:r>
              <w:rPr>
                <w:sz w:val="20"/>
                <w:szCs w:val="20"/>
              </w:rPr>
              <w:t>Early</w:t>
            </w:r>
          </w:p>
        </w:tc>
        <w:tc>
          <w:tcPr>
            <w:tcW w:w="626" w:type="pct"/>
            <w:shd w:val="clear" w:color="auto" w:fill="92D050"/>
          </w:tcPr>
          <w:p w14:paraId="4578DD2D" w14:textId="7DA7A7B9" w:rsidR="005F5D00" w:rsidRPr="001D2761" w:rsidRDefault="005F5D00" w:rsidP="004D2EF3">
            <w:pPr>
              <w:pStyle w:val="BodyText"/>
              <w:rPr>
                <w:sz w:val="20"/>
                <w:szCs w:val="20"/>
              </w:rPr>
            </w:pPr>
            <w:r>
              <w:rPr>
                <w:sz w:val="20"/>
                <w:szCs w:val="20"/>
              </w:rPr>
              <w:t>Low</w:t>
            </w:r>
          </w:p>
        </w:tc>
      </w:tr>
      <w:tr w:rsidR="004C55BB" w14:paraId="3FD3F449" w14:textId="77777777" w:rsidTr="004C55BB">
        <w:tc>
          <w:tcPr>
            <w:tcW w:w="583" w:type="pct"/>
          </w:tcPr>
          <w:p w14:paraId="05E48830" w14:textId="75006914" w:rsidR="004C55BB" w:rsidRPr="001D2761" w:rsidRDefault="004C55BB" w:rsidP="004C55BB">
            <w:pPr>
              <w:pStyle w:val="BodyText"/>
              <w:jc w:val="left"/>
              <w:rPr>
                <w:sz w:val="20"/>
                <w:szCs w:val="20"/>
              </w:rPr>
            </w:pPr>
            <w:r>
              <w:rPr>
                <w:sz w:val="20"/>
                <w:szCs w:val="20"/>
              </w:rPr>
              <w:t>Approach 2</w:t>
            </w:r>
          </w:p>
        </w:tc>
        <w:tc>
          <w:tcPr>
            <w:tcW w:w="735" w:type="pct"/>
          </w:tcPr>
          <w:p w14:paraId="2B495156" w14:textId="02E3CC42" w:rsidR="004C55BB" w:rsidRPr="001D2761" w:rsidRDefault="00A85D6B" w:rsidP="004C55BB">
            <w:pPr>
              <w:pStyle w:val="BodyText"/>
              <w:jc w:val="left"/>
              <w:rPr>
                <w:sz w:val="20"/>
                <w:szCs w:val="20"/>
              </w:rPr>
            </w:pPr>
            <w:r>
              <w:rPr>
                <w:sz w:val="20"/>
                <w:szCs w:val="20"/>
              </w:rPr>
              <w:t>Short to medium</w:t>
            </w:r>
          </w:p>
        </w:tc>
        <w:tc>
          <w:tcPr>
            <w:tcW w:w="954" w:type="pct"/>
            <w:shd w:val="clear" w:color="auto" w:fill="92D050"/>
          </w:tcPr>
          <w:p w14:paraId="36C2170D" w14:textId="70B0E9BA" w:rsidR="004C55BB" w:rsidRPr="001D2761" w:rsidRDefault="004C55BB" w:rsidP="004C55BB">
            <w:pPr>
              <w:pStyle w:val="BodyText"/>
              <w:jc w:val="left"/>
              <w:rPr>
                <w:sz w:val="20"/>
                <w:szCs w:val="20"/>
              </w:rPr>
            </w:pPr>
            <w:r>
              <w:rPr>
                <w:sz w:val="20"/>
                <w:szCs w:val="20"/>
              </w:rPr>
              <w:t>Yes</w:t>
            </w:r>
          </w:p>
        </w:tc>
        <w:tc>
          <w:tcPr>
            <w:tcW w:w="742" w:type="pct"/>
            <w:shd w:val="clear" w:color="auto" w:fill="92D050"/>
          </w:tcPr>
          <w:p w14:paraId="4EFB1A26" w14:textId="66F8F61C" w:rsidR="004C55BB" w:rsidRPr="001D2761" w:rsidRDefault="004C55BB" w:rsidP="004C55BB">
            <w:pPr>
              <w:pStyle w:val="BodyText"/>
              <w:jc w:val="left"/>
              <w:rPr>
                <w:sz w:val="20"/>
                <w:szCs w:val="20"/>
              </w:rPr>
            </w:pPr>
            <w:r>
              <w:rPr>
                <w:sz w:val="20"/>
                <w:szCs w:val="20"/>
              </w:rPr>
              <w:t>Yes</w:t>
            </w:r>
          </w:p>
        </w:tc>
        <w:tc>
          <w:tcPr>
            <w:tcW w:w="580" w:type="pct"/>
            <w:shd w:val="clear" w:color="auto" w:fill="92D050"/>
          </w:tcPr>
          <w:p w14:paraId="4445FDA7" w14:textId="26324C3C" w:rsidR="004C55BB" w:rsidRPr="005419A6" w:rsidRDefault="004C55BB" w:rsidP="004C55BB">
            <w:pPr>
              <w:pStyle w:val="BodyText"/>
              <w:jc w:val="left"/>
              <w:rPr>
                <w:sz w:val="20"/>
                <w:szCs w:val="20"/>
              </w:rPr>
            </w:pPr>
            <w:r>
              <w:rPr>
                <w:sz w:val="20"/>
                <w:szCs w:val="20"/>
              </w:rPr>
              <w:t>Yes</w:t>
            </w:r>
          </w:p>
        </w:tc>
        <w:tc>
          <w:tcPr>
            <w:tcW w:w="781" w:type="pct"/>
            <w:shd w:val="clear" w:color="auto" w:fill="92D050"/>
          </w:tcPr>
          <w:p w14:paraId="12270823" w14:textId="7D29B65D" w:rsidR="004C55BB" w:rsidRPr="001D2761" w:rsidRDefault="004C55BB" w:rsidP="004C55BB">
            <w:pPr>
              <w:pStyle w:val="BodyText"/>
              <w:jc w:val="left"/>
              <w:rPr>
                <w:sz w:val="20"/>
                <w:szCs w:val="20"/>
              </w:rPr>
            </w:pPr>
            <w:r>
              <w:rPr>
                <w:sz w:val="20"/>
                <w:szCs w:val="20"/>
              </w:rPr>
              <w:t>Late</w:t>
            </w:r>
          </w:p>
        </w:tc>
        <w:tc>
          <w:tcPr>
            <w:tcW w:w="626" w:type="pct"/>
            <w:shd w:val="clear" w:color="auto" w:fill="92D050"/>
          </w:tcPr>
          <w:p w14:paraId="25516D1F" w14:textId="0AB0588D" w:rsidR="004C55BB" w:rsidRPr="001D2761" w:rsidRDefault="004C55BB" w:rsidP="004C55BB">
            <w:pPr>
              <w:pStyle w:val="BodyText"/>
              <w:rPr>
                <w:sz w:val="20"/>
                <w:szCs w:val="20"/>
              </w:rPr>
            </w:pPr>
            <w:r>
              <w:rPr>
                <w:sz w:val="20"/>
                <w:szCs w:val="20"/>
              </w:rPr>
              <w:t>Low</w:t>
            </w:r>
          </w:p>
        </w:tc>
      </w:tr>
    </w:tbl>
    <w:p w14:paraId="4D9EB851" w14:textId="77777777" w:rsidR="00F74693" w:rsidRDefault="00F74693" w:rsidP="004D2EF3">
      <w:pPr>
        <w:pStyle w:val="BodyText"/>
      </w:pPr>
    </w:p>
    <w:p w14:paraId="4D8D99C3" w14:textId="4FB86ABB" w:rsidR="00E90C33" w:rsidRDefault="008F2662" w:rsidP="004D2EF3">
      <w:pPr>
        <w:pStyle w:val="BodyText"/>
      </w:pPr>
      <w:r>
        <w:t>We think t</w:t>
      </w:r>
      <w:r w:rsidR="0061659B">
        <w:t xml:space="preserve">here are </w:t>
      </w:r>
      <w:r w:rsidR="00C202CD">
        <w:t>some</w:t>
      </w:r>
      <w:r w:rsidR="0061659B">
        <w:t xml:space="preserve"> advantages to support approach 2 </w:t>
      </w:r>
      <w:r>
        <w:t xml:space="preserve">for </w:t>
      </w:r>
      <w:r w:rsidR="0061659B" w:rsidRPr="00A41A0B">
        <w:t xml:space="preserve">execution </w:t>
      </w:r>
      <w:r w:rsidR="00E90C33">
        <w:t>but this comes with a cost of a few ms network delay before triggering</w:t>
      </w:r>
      <w:r w:rsidR="0061659B">
        <w:t>.</w:t>
      </w:r>
      <w:r w:rsidR="008B31B5">
        <w:t xml:space="preserve"> Approach 2 has likely also higher complexity</w:t>
      </w:r>
      <w:r w:rsidR="00773FA8">
        <w:t xml:space="preserve"> as there is some dynamic information that needs to be transferred during execution.</w:t>
      </w:r>
    </w:p>
    <w:p w14:paraId="50777873" w14:textId="468A3C69" w:rsidR="00DC21B6" w:rsidRDefault="007F60EC" w:rsidP="004D2EF3">
      <w:pPr>
        <w:pStyle w:val="BodyText"/>
      </w:pPr>
      <w:r>
        <w:t xml:space="preserve">Looking at the </w:t>
      </w:r>
      <w:r w:rsidR="00D921B1">
        <w:t>signalling diagrams for</w:t>
      </w:r>
      <w:r>
        <w:t xml:space="preserve"> these two approaches</w:t>
      </w:r>
      <w:r w:rsidR="00D921B1">
        <w:t>, they look quite similar as both involve the same F1AP procedures</w:t>
      </w:r>
      <w:r w:rsidR="00DE3CDC">
        <w:t xml:space="preserve">. The difference is when the serving DU triggers the first F1AP message to the CU. But also in approach 1, </w:t>
      </w:r>
      <w:r w:rsidR="00316314">
        <w:t xml:space="preserve">it is up to the serving DU when to </w:t>
      </w:r>
      <w:r w:rsidR="00FA74CE">
        <w:t xml:space="preserve">inform the CU about execution, </w:t>
      </w:r>
      <w:proofErr w:type="gramStart"/>
      <w:r w:rsidR="00FA74CE">
        <w:t>as long as</w:t>
      </w:r>
      <w:proofErr w:type="gramEnd"/>
      <w:r w:rsidR="00FA74CE">
        <w:t xml:space="preserve"> it knows that the </w:t>
      </w:r>
      <w:r w:rsidR="00FA74CE">
        <w:lastRenderedPageBreak/>
        <w:t xml:space="preserve">LTM cell switch will be executed. </w:t>
      </w:r>
      <w:proofErr w:type="gramStart"/>
      <w:r w:rsidR="00CD3713">
        <w:t>So</w:t>
      </w:r>
      <w:proofErr w:type="gramEnd"/>
      <w:r w:rsidR="00CD3713">
        <w:t xml:space="preserve"> if we support approach 2, also approach 1 </w:t>
      </w:r>
      <w:r w:rsidR="00DE0859">
        <w:t>may</w:t>
      </w:r>
      <w:r w:rsidR="00CD3713">
        <w:t xml:space="preserve"> be </w:t>
      </w:r>
      <w:r w:rsidR="00EF516D">
        <w:t xml:space="preserve">implicitly </w:t>
      </w:r>
      <w:r w:rsidR="00CD3713">
        <w:t>supported</w:t>
      </w:r>
      <w:r w:rsidR="001F4DEF">
        <w:t xml:space="preserve"> </w:t>
      </w:r>
      <w:r w:rsidR="00784A28">
        <w:t>if</w:t>
      </w:r>
      <w:r w:rsidR="00CD3713">
        <w:t xml:space="preserve"> the information exchanged in F1AP </w:t>
      </w:r>
      <w:r w:rsidR="003D618B">
        <w:t>for approach 2 (e.g. the request for dynamic information and the response</w:t>
      </w:r>
      <w:r w:rsidR="00DE0859">
        <w:t>).</w:t>
      </w:r>
      <w:r w:rsidR="003D618B">
        <w:t xml:space="preserve"> </w:t>
      </w:r>
    </w:p>
    <w:p w14:paraId="51D31177" w14:textId="08289EDA" w:rsidR="004D2EF3" w:rsidRDefault="00DC21B6" w:rsidP="004D2EF3">
      <w:pPr>
        <w:pStyle w:val="BodyText"/>
      </w:pPr>
      <w:r>
        <w:t>W</w:t>
      </w:r>
      <w:r w:rsidR="004D2EF3">
        <w:t xml:space="preserve">e </w:t>
      </w:r>
      <w:r>
        <w:t xml:space="preserve">therefore </w:t>
      </w:r>
      <w:r w:rsidR="004D2EF3">
        <w:t xml:space="preserve">think that </w:t>
      </w:r>
      <w:r w:rsidR="00B543DB">
        <w:t>if we specify</w:t>
      </w:r>
      <w:r w:rsidR="004D2EF3">
        <w:t xml:space="preserve"> </w:t>
      </w:r>
      <w:r>
        <w:t>approach</w:t>
      </w:r>
      <w:r w:rsidR="00B543DB">
        <w:t xml:space="preserve"> 2,</w:t>
      </w:r>
      <w:r>
        <w:t xml:space="preserve"> </w:t>
      </w:r>
      <w:r w:rsidR="00B543DB">
        <w:t xml:space="preserve">it would be </w:t>
      </w:r>
      <w:r w:rsidR="009F4BD3">
        <w:t xml:space="preserve">easy to support approach 1 by network implementation </w:t>
      </w:r>
      <w:proofErr w:type="gramStart"/>
      <w:r w:rsidR="009F4BD3">
        <w:t>as long as</w:t>
      </w:r>
      <w:proofErr w:type="gramEnd"/>
      <w:r w:rsidR="009F4BD3">
        <w:t xml:space="preserve"> F1AP supports</w:t>
      </w:r>
      <w:r w:rsidR="00BF0FAC">
        <w:t xml:space="preserve"> this</w:t>
      </w:r>
      <w:r w:rsidR="004D2EF3">
        <w:t>.</w:t>
      </w:r>
    </w:p>
    <w:p w14:paraId="2951F193" w14:textId="4ACE069A" w:rsidR="004D2EF3" w:rsidRDefault="0015121D" w:rsidP="004D2EF3">
      <w:pPr>
        <w:pStyle w:val="Observation"/>
      </w:pPr>
      <w:bookmarkStart w:id="16" w:name="_Toc127478534"/>
      <w:bookmarkStart w:id="17" w:name="_Toc131756990"/>
      <w:r>
        <w:t xml:space="preserve">If approach 2 is </w:t>
      </w:r>
      <w:r w:rsidR="00B543DB">
        <w:t>specified</w:t>
      </w:r>
      <w:r w:rsidR="00162DDB">
        <w:t xml:space="preserve">, also approach 1 can be </w:t>
      </w:r>
      <w:r w:rsidR="00133649">
        <w:t xml:space="preserve">used </w:t>
      </w:r>
      <w:r w:rsidR="00B543DB">
        <w:t xml:space="preserve">by </w:t>
      </w:r>
      <w:r w:rsidR="00133649">
        <w:t xml:space="preserve">a </w:t>
      </w:r>
      <w:r w:rsidR="00B543DB">
        <w:t>network implementation</w:t>
      </w:r>
      <w:r w:rsidR="00133649">
        <w:t>, given this is supported by F1AP</w:t>
      </w:r>
      <w:r w:rsidR="004D2EF3">
        <w:t>.</w:t>
      </w:r>
      <w:bookmarkEnd w:id="16"/>
      <w:bookmarkEnd w:id="17"/>
    </w:p>
    <w:p w14:paraId="47AD6B18" w14:textId="53316707" w:rsidR="004D2EF3" w:rsidRDefault="004D2EF3" w:rsidP="004D2EF3">
      <w:pPr>
        <w:pStyle w:val="Proposal"/>
      </w:pPr>
      <w:bookmarkStart w:id="18" w:name="_Toc127478417"/>
      <w:bookmarkStart w:id="19" w:name="_Toc131756991"/>
      <w:r>
        <w:t xml:space="preserve">For the execution of LTM cell switch, </w:t>
      </w:r>
      <w:r w:rsidR="00C016E1">
        <w:t xml:space="preserve">both </w:t>
      </w:r>
      <w:r>
        <w:t>the following approaches are supported:</w:t>
      </w:r>
      <w:bookmarkEnd w:id="18"/>
      <w:bookmarkEnd w:id="19"/>
    </w:p>
    <w:p w14:paraId="62F257A0" w14:textId="5B11D636" w:rsidR="004D2EF3" w:rsidRDefault="004D2EF3" w:rsidP="004D2EF3">
      <w:pPr>
        <w:pStyle w:val="Proposal"/>
        <w:numPr>
          <w:ilvl w:val="1"/>
          <w:numId w:val="3"/>
        </w:numPr>
        <w:tabs>
          <w:tab w:val="clear" w:pos="1440"/>
          <w:tab w:val="num" w:pos="1701"/>
          <w:tab w:val="num" w:pos="1985"/>
        </w:tabs>
        <w:ind w:left="1985" w:hanging="284"/>
      </w:pPr>
      <w:bookmarkStart w:id="20" w:name="_Toc127478418"/>
      <w:bookmarkStart w:id="21" w:name="_Toc131756992"/>
      <w:r w:rsidRPr="00AF43A8">
        <w:t>Approach 1</w:t>
      </w:r>
      <w:r>
        <w:t xml:space="preserve"> - </w:t>
      </w:r>
      <w:r w:rsidR="004027AB" w:rsidRPr="004027AB">
        <w:t>the serving gNB-DU triggers the execution by transmitting LTM cell switch command to the UE and then informs the gNB-CU of the serving cell switch</w:t>
      </w:r>
      <w:r w:rsidRPr="00AF43A8">
        <w:t>.</w:t>
      </w:r>
      <w:bookmarkEnd w:id="20"/>
      <w:bookmarkEnd w:id="21"/>
    </w:p>
    <w:p w14:paraId="65E7392F" w14:textId="6C37173F" w:rsidR="00527E44" w:rsidRDefault="004D2EF3" w:rsidP="00CE0424">
      <w:pPr>
        <w:pStyle w:val="Proposal"/>
        <w:numPr>
          <w:ilvl w:val="1"/>
          <w:numId w:val="3"/>
        </w:numPr>
        <w:tabs>
          <w:tab w:val="clear" w:pos="1440"/>
          <w:tab w:val="num" w:pos="1701"/>
          <w:tab w:val="num" w:pos="1985"/>
        </w:tabs>
        <w:ind w:left="1985" w:hanging="284"/>
      </w:pPr>
      <w:bookmarkStart w:id="22" w:name="_Toc127478419"/>
      <w:bookmarkStart w:id="23" w:name="_Toc131756993"/>
      <w:r w:rsidRPr="00AF43A8">
        <w:t>Approach 2</w:t>
      </w:r>
      <w:r>
        <w:t xml:space="preserve"> - </w:t>
      </w:r>
      <w:r w:rsidR="004027AB" w:rsidRPr="004027AB">
        <w:t>the serving gNB-DU first requests information from target DU before triggering LTM cell switch command to the UE</w:t>
      </w:r>
      <w:r w:rsidRPr="00AF43A8">
        <w:t>.</w:t>
      </w:r>
      <w:bookmarkEnd w:id="22"/>
      <w:bookmarkEnd w:id="23"/>
    </w:p>
    <w:p w14:paraId="66FCD4FF" w14:textId="7D471141" w:rsidR="000915B4" w:rsidRDefault="00A85D6B" w:rsidP="000915B4">
      <w:pPr>
        <w:pStyle w:val="Proposal"/>
      </w:pPr>
      <w:bookmarkStart w:id="24" w:name="_Toc131756994"/>
      <w:r>
        <w:t>RAN2 to agree so send</w:t>
      </w:r>
      <w:r w:rsidR="00B037F7">
        <w:t xml:space="preserve"> </w:t>
      </w:r>
      <w:r w:rsidR="00110C86">
        <w:t>the</w:t>
      </w:r>
      <w:r w:rsidR="00B037F7">
        <w:t xml:space="preserve"> </w:t>
      </w:r>
      <w:proofErr w:type="gramStart"/>
      <w:r w:rsidR="00B037F7">
        <w:t>reply</w:t>
      </w:r>
      <w:proofErr w:type="gramEnd"/>
      <w:r w:rsidR="00B037F7">
        <w:t xml:space="preserve"> LS to RAN3</w:t>
      </w:r>
      <w:r w:rsidR="00110C86">
        <w:t xml:space="preserve"> in Annex</w:t>
      </w:r>
      <w:r w:rsidR="00C016E1">
        <w:t xml:space="preserve"> </w:t>
      </w:r>
      <w:r>
        <w:t xml:space="preserve">to indicate that both approaches </w:t>
      </w:r>
      <w:r w:rsidR="00110C86">
        <w:t>should be supported</w:t>
      </w:r>
      <w:r w:rsidR="00B037F7">
        <w:t>.</w:t>
      </w:r>
      <w:bookmarkEnd w:id="24"/>
    </w:p>
    <w:p w14:paraId="20D74898" w14:textId="6113E32D" w:rsidR="00C01F33" w:rsidRPr="00CE0424" w:rsidRDefault="00C01F33" w:rsidP="00CE0424">
      <w:pPr>
        <w:pStyle w:val="Heading1"/>
      </w:pPr>
      <w:r w:rsidRPr="00CE0424">
        <w:t>Conclusion</w:t>
      </w:r>
    </w:p>
    <w:p w14:paraId="7E08B16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45F16F0" w14:textId="77777777" w:rsidR="00BD533E" w:rsidRDefault="006F65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rPr>
        <w:fldChar w:fldCharType="begin"/>
      </w:r>
      <w:r>
        <w:rPr>
          <w:b w:val="0"/>
          <w:bCs/>
        </w:rPr>
        <w:instrText xml:space="preserve"> TOC \f O \n \h \z \t "Observation" \c </w:instrText>
      </w:r>
      <w:r>
        <w:rPr>
          <w:b w:val="0"/>
          <w:bCs/>
        </w:rPr>
        <w:fldChar w:fldCharType="separate"/>
      </w:r>
      <w:hyperlink w:anchor="_Toc131756982" w:history="1">
        <w:r w:rsidR="00BD533E" w:rsidRPr="00577C6A">
          <w:rPr>
            <w:rStyle w:val="Hyperlink"/>
            <w:noProof/>
          </w:rPr>
          <w:t>Observation 1</w:t>
        </w:r>
        <w:r w:rsidR="00BD533E">
          <w:rPr>
            <w:rFonts w:asciiTheme="minorHAnsi" w:eastAsiaTheme="minorEastAsia" w:hAnsiTheme="minorHAnsi" w:cstheme="minorBidi"/>
            <w:b w:val="0"/>
            <w:noProof/>
            <w:sz w:val="24"/>
            <w:szCs w:val="24"/>
            <w:lang w:val="en-FI" w:eastAsia="en-GB"/>
          </w:rPr>
          <w:tab/>
        </w:r>
        <w:r w:rsidR="00BD533E" w:rsidRPr="00577C6A">
          <w:rPr>
            <w:rStyle w:val="Hyperlink"/>
            <w:noProof/>
          </w:rPr>
          <w:t>In the intra-DU case, the DU is aware of the UE is coming at the time LTM cell switch is executed. This enables shorter interruption without the extra cost of resources allocated in advance within the target cell.</w:t>
        </w:r>
      </w:hyperlink>
    </w:p>
    <w:p w14:paraId="3EFFB27B"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3" w:history="1">
        <w:r w:rsidRPr="00577C6A">
          <w:rPr>
            <w:rStyle w:val="Hyperlink"/>
            <w:noProof/>
          </w:rPr>
          <w:t>Observation 2</w:t>
        </w:r>
        <w:r>
          <w:rPr>
            <w:rFonts w:asciiTheme="minorHAnsi" w:eastAsiaTheme="minorEastAsia" w:hAnsiTheme="minorHAnsi" w:cstheme="minorBidi"/>
            <w:b w:val="0"/>
            <w:noProof/>
            <w:sz w:val="24"/>
            <w:szCs w:val="24"/>
            <w:lang w:val="en-FI" w:eastAsia="en-GB"/>
          </w:rPr>
          <w:tab/>
        </w:r>
        <w:r w:rsidRPr="00577C6A">
          <w:rPr>
            <w:rStyle w:val="Hyperlink"/>
            <w:noProof/>
          </w:rPr>
          <w:t>In the intra-DU case, it is possible to provide dynamic information about the target cell to the UE to further reduce the latency. However, this would then require that this dynamic information need to be included in the LTM cell switch command.</w:t>
        </w:r>
      </w:hyperlink>
    </w:p>
    <w:p w14:paraId="726EE27C"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4" w:history="1">
        <w:r w:rsidRPr="00577C6A">
          <w:rPr>
            <w:rStyle w:val="Hyperlink"/>
            <w:noProof/>
          </w:rPr>
          <w:t>Observation 3</w:t>
        </w:r>
        <w:r>
          <w:rPr>
            <w:rFonts w:asciiTheme="minorHAnsi" w:eastAsiaTheme="minorEastAsia" w:hAnsiTheme="minorHAnsi" w:cstheme="minorBidi"/>
            <w:b w:val="0"/>
            <w:noProof/>
            <w:sz w:val="24"/>
            <w:szCs w:val="24"/>
            <w:lang w:val="en-FI" w:eastAsia="en-GB"/>
          </w:rPr>
          <w:tab/>
        </w:r>
        <w:r w:rsidRPr="00577C6A">
          <w:rPr>
            <w:rStyle w:val="Hyperlink"/>
            <w:noProof/>
          </w:rPr>
          <w:t>In approach 1, the candidate DU needs to be prepared for the UE arriving in target cell already after LTM candidate cell configuration.</w:t>
        </w:r>
      </w:hyperlink>
    </w:p>
    <w:p w14:paraId="22F3AC08"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5" w:history="1">
        <w:r w:rsidRPr="00577C6A">
          <w:rPr>
            <w:rStyle w:val="Hyperlink"/>
            <w:noProof/>
          </w:rPr>
          <w:t>Observation 4</w:t>
        </w:r>
        <w:r>
          <w:rPr>
            <w:rFonts w:asciiTheme="minorHAnsi" w:eastAsiaTheme="minorEastAsia" w:hAnsiTheme="minorHAnsi" w:cstheme="minorBidi"/>
            <w:b w:val="0"/>
            <w:noProof/>
            <w:sz w:val="24"/>
            <w:szCs w:val="24"/>
            <w:lang w:val="en-FI" w:eastAsia="en-GB"/>
          </w:rPr>
          <w:tab/>
        </w:r>
        <w:r w:rsidRPr="00577C6A">
          <w:rPr>
            <w:rStyle w:val="Hyperlink"/>
            <w:noProof/>
          </w:rPr>
          <w:t>If only approach 1 is supported, we need to put restrictions on which dynamic information that can be included into the LTM cell switch command, also for the intra-DU case.</w:t>
        </w:r>
      </w:hyperlink>
    </w:p>
    <w:p w14:paraId="791B617B"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6" w:history="1">
        <w:r w:rsidRPr="00577C6A">
          <w:rPr>
            <w:rStyle w:val="Hyperlink"/>
            <w:noProof/>
          </w:rPr>
          <w:t>Observation 5</w:t>
        </w:r>
        <w:r>
          <w:rPr>
            <w:rFonts w:asciiTheme="minorHAnsi" w:eastAsiaTheme="minorEastAsia" w:hAnsiTheme="minorHAnsi" w:cstheme="minorBidi"/>
            <w:b w:val="0"/>
            <w:noProof/>
            <w:sz w:val="24"/>
            <w:szCs w:val="24"/>
            <w:lang w:val="en-FI" w:eastAsia="en-GB"/>
          </w:rPr>
          <w:tab/>
        </w:r>
        <w:r w:rsidRPr="00577C6A">
          <w:rPr>
            <w:rStyle w:val="Hyperlink"/>
            <w:noProof/>
          </w:rPr>
          <w:t>Approach 2 for execution enables the CU and candidate DU to reject the execution and avoids race conditions between LTM and RRC procedures such as L3 mobility.</w:t>
        </w:r>
      </w:hyperlink>
    </w:p>
    <w:p w14:paraId="2A779CD4"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7" w:history="1">
        <w:r w:rsidRPr="00577C6A">
          <w:rPr>
            <w:rStyle w:val="Hyperlink"/>
            <w:noProof/>
          </w:rPr>
          <w:t>Observation 6</w:t>
        </w:r>
        <w:r>
          <w:rPr>
            <w:rFonts w:asciiTheme="minorHAnsi" w:eastAsiaTheme="minorEastAsia" w:hAnsiTheme="minorHAnsi" w:cstheme="minorBidi"/>
            <w:b w:val="0"/>
            <w:noProof/>
            <w:sz w:val="24"/>
            <w:szCs w:val="24"/>
            <w:lang w:val="en-FI" w:eastAsia="en-GB"/>
          </w:rPr>
          <w:tab/>
        </w:r>
        <w:r w:rsidRPr="00577C6A">
          <w:rPr>
            <w:rStyle w:val="Hyperlink"/>
            <w:noProof/>
          </w:rPr>
          <w:t>In approach 2 for execution (LTM triggering with target candidate DU involvement), just as in the intra-DU case, it is possible to include dynamic information in the LTM cell switch command.</w:t>
        </w:r>
      </w:hyperlink>
    </w:p>
    <w:p w14:paraId="49C82F48"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8" w:history="1">
        <w:r w:rsidRPr="00577C6A">
          <w:rPr>
            <w:rStyle w:val="Hyperlink"/>
            <w:noProof/>
          </w:rPr>
          <w:t>Observation 7</w:t>
        </w:r>
        <w:r>
          <w:rPr>
            <w:rFonts w:asciiTheme="minorHAnsi" w:eastAsiaTheme="minorEastAsia" w:hAnsiTheme="minorHAnsi" w:cstheme="minorBidi"/>
            <w:b w:val="0"/>
            <w:noProof/>
            <w:sz w:val="24"/>
            <w:szCs w:val="24"/>
            <w:lang w:val="en-FI" w:eastAsia="en-GB"/>
          </w:rPr>
          <w:tab/>
        </w:r>
        <w:r w:rsidRPr="00577C6A">
          <w:rPr>
            <w:rStyle w:val="Hyperlink"/>
            <w:noProof/>
          </w:rPr>
          <w:t>In approach 2 for execution, just as in the intra-DU case, the target DU is aware of that the UE is about to arrive at the time LTM cell switch is executed. This enables the candidate DU to allocate resources in the target cell later.</w:t>
        </w:r>
      </w:hyperlink>
    </w:p>
    <w:p w14:paraId="1FCAB4D3"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89" w:history="1">
        <w:r w:rsidRPr="00577C6A">
          <w:rPr>
            <w:rStyle w:val="Hyperlink"/>
            <w:noProof/>
          </w:rPr>
          <w:t>Observation 8</w:t>
        </w:r>
        <w:r>
          <w:rPr>
            <w:rFonts w:asciiTheme="minorHAnsi" w:eastAsiaTheme="minorEastAsia" w:hAnsiTheme="minorHAnsi" w:cstheme="minorBidi"/>
            <w:b w:val="0"/>
            <w:noProof/>
            <w:sz w:val="24"/>
            <w:szCs w:val="24"/>
            <w:lang w:val="en-FI" w:eastAsia="en-GB"/>
          </w:rPr>
          <w:tab/>
        </w:r>
        <w:r w:rsidRPr="00577C6A">
          <w:rPr>
            <w:rStyle w:val="Hyperlink"/>
            <w:noProof/>
          </w:rPr>
          <w:t>When using approach 2 for execution, the latency before LTM cell switch is triggered is increased with two F1AP round trip procedure delays.</w:t>
        </w:r>
      </w:hyperlink>
    </w:p>
    <w:p w14:paraId="3E87CA0F"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90" w:history="1">
        <w:r w:rsidRPr="00577C6A">
          <w:rPr>
            <w:rStyle w:val="Hyperlink"/>
            <w:noProof/>
          </w:rPr>
          <w:t>Observation 9</w:t>
        </w:r>
        <w:r>
          <w:rPr>
            <w:rFonts w:asciiTheme="minorHAnsi" w:eastAsiaTheme="minorEastAsia" w:hAnsiTheme="minorHAnsi" w:cstheme="minorBidi"/>
            <w:b w:val="0"/>
            <w:noProof/>
            <w:sz w:val="24"/>
            <w:szCs w:val="24"/>
            <w:lang w:val="en-FI" w:eastAsia="en-GB"/>
          </w:rPr>
          <w:tab/>
        </w:r>
        <w:r w:rsidRPr="00577C6A">
          <w:rPr>
            <w:rStyle w:val="Hyperlink"/>
            <w:noProof/>
          </w:rPr>
          <w:t>If approach 2 is specified, also approach 1 can be used by a network implementation, given this is supported by F1AP.</w:t>
        </w:r>
      </w:hyperlink>
    </w:p>
    <w:p w14:paraId="029CA090" w14:textId="6DBC8507" w:rsidR="006E1C82" w:rsidRDefault="006F6582" w:rsidP="008E065E">
      <w:pPr>
        <w:pStyle w:val="BodyText"/>
        <w:rPr>
          <w:b/>
          <w:bCs/>
        </w:rPr>
      </w:pPr>
      <w:r>
        <w:rPr>
          <w:b/>
          <w:bCs/>
        </w:rPr>
        <w:fldChar w:fldCharType="end"/>
      </w:r>
    </w:p>
    <w:p w14:paraId="4DC87846"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EAF73BC" w14:textId="77777777" w:rsidR="00BD533E" w:rsidRDefault="006E1C82">
      <w:pPr>
        <w:pStyle w:val="TableofFigures"/>
        <w:tabs>
          <w:tab w:val="right" w:leader="dot" w:pos="9629"/>
        </w:tabs>
        <w:rPr>
          <w:rFonts w:asciiTheme="minorHAnsi" w:eastAsiaTheme="minorEastAsia" w:hAnsiTheme="minorHAnsi" w:cstheme="minorBidi"/>
          <w:b w:val="0"/>
          <w:noProof/>
          <w:sz w:val="24"/>
          <w:szCs w:val="24"/>
          <w:lang w:val="en-FI" w:eastAsia="en-GB"/>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31756991" w:history="1">
        <w:r w:rsidR="00BD533E" w:rsidRPr="00643EB3">
          <w:rPr>
            <w:rStyle w:val="Hyperlink"/>
            <w:noProof/>
          </w:rPr>
          <w:t>Proposal 1</w:t>
        </w:r>
        <w:r w:rsidR="00BD533E">
          <w:rPr>
            <w:rFonts w:asciiTheme="minorHAnsi" w:eastAsiaTheme="minorEastAsia" w:hAnsiTheme="minorHAnsi" w:cstheme="minorBidi"/>
            <w:b w:val="0"/>
            <w:noProof/>
            <w:sz w:val="24"/>
            <w:szCs w:val="24"/>
            <w:lang w:val="en-FI" w:eastAsia="en-GB"/>
          </w:rPr>
          <w:tab/>
        </w:r>
        <w:r w:rsidR="00BD533E" w:rsidRPr="00643EB3">
          <w:rPr>
            <w:rStyle w:val="Hyperlink"/>
            <w:noProof/>
          </w:rPr>
          <w:t>For the execution of LTM cell switch, both the following approaches are supported:</w:t>
        </w:r>
      </w:hyperlink>
    </w:p>
    <w:p w14:paraId="3BF7C99D" w14:textId="77777777" w:rsidR="00BD533E" w:rsidRDefault="00BD533E" w:rsidP="00BD533E">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6992" w:history="1">
        <w:r w:rsidRPr="00643EB3">
          <w:rPr>
            <w:rStyle w:val="Hyperlink"/>
            <w:noProof/>
          </w:rPr>
          <w:t>a.</w:t>
        </w:r>
        <w:r>
          <w:rPr>
            <w:rFonts w:asciiTheme="minorHAnsi" w:eastAsiaTheme="minorEastAsia" w:hAnsiTheme="minorHAnsi" w:cstheme="minorBidi"/>
            <w:b w:val="0"/>
            <w:noProof/>
            <w:sz w:val="24"/>
            <w:szCs w:val="24"/>
            <w:lang w:val="en-FI" w:eastAsia="en-GB"/>
          </w:rPr>
          <w:tab/>
        </w:r>
        <w:r w:rsidRPr="00643EB3">
          <w:rPr>
            <w:rStyle w:val="Hyperlink"/>
            <w:noProof/>
          </w:rPr>
          <w:t>Approach 1 - the serving gNB-DU triggers the execution by transmitting LTM cell switch command to the UE and then informs the gNB-CU of the serving cell switch.</w:t>
        </w:r>
      </w:hyperlink>
    </w:p>
    <w:p w14:paraId="2BFE6F77" w14:textId="77777777" w:rsidR="00BD533E" w:rsidRDefault="00BD533E" w:rsidP="00BD533E">
      <w:pPr>
        <w:pStyle w:val="TableofFigures"/>
        <w:tabs>
          <w:tab w:val="right" w:leader="dot" w:pos="9629"/>
        </w:tabs>
        <w:ind w:left="2127" w:hanging="426"/>
        <w:rPr>
          <w:rFonts w:asciiTheme="minorHAnsi" w:eastAsiaTheme="minorEastAsia" w:hAnsiTheme="minorHAnsi" w:cstheme="minorBidi"/>
          <w:b w:val="0"/>
          <w:noProof/>
          <w:sz w:val="24"/>
          <w:szCs w:val="24"/>
          <w:lang w:val="en-FI" w:eastAsia="en-GB"/>
        </w:rPr>
      </w:pPr>
      <w:hyperlink w:anchor="_Toc131756993" w:history="1">
        <w:r w:rsidRPr="00643EB3">
          <w:rPr>
            <w:rStyle w:val="Hyperlink"/>
            <w:noProof/>
          </w:rPr>
          <w:t>b.</w:t>
        </w:r>
        <w:r>
          <w:rPr>
            <w:rFonts w:asciiTheme="minorHAnsi" w:eastAsiaTheme="minorEastAsia" w:hAnsiTheme="minorHAnsi" w:cstheme="minorBidi"/>
            <w:b w:val="0"/>
            <w:noProof/>
            <w:sz w:val="24"/>
            <w:szCs w:val="24"/>
            <w:lang w:val="en-FI" w:eastAsia="en-GB"/>
          </w:rPr>
          <w:tab/>
        </w:r>
        <w:r w:rsidRPr="00643EB3">
          <w:rPr>
            <w:rStyle w:val="Hyperlink"/>
            <w:noProof/>
          </w:rPr>
          <w:t>Approach 2 - the serving gNB-DU first requests information from target DU before triggering LTM cell switch command to the UE.</w:t>
        </w:r>
      </w:hyperlink>
    </w:p>
    <w:p w14:paraId="5B07037E" w14:textId="77777777" w:rsidR="00BD533E" w:rsidRDefault="00BD533E">
      <w:pPr>
        <w:pStyle w:val="TableofFigures"/>
        <w:tabs>
          <w:tab w:val="right" w:leader="dot" w:pos="9629"/>
        </w:tabs>
        <w:rPr>
          <w:rFonts w:asciiTheme="minorHAnsi" w:eastAsiaTheme="minorEastAsia" w:hAnsiTheme="minorHAnsi" w:cstheme="minorBidi"/>
          <w:b w:val="0"/>
          <w:noProof/>
          <w:sz w:val="24"/>
          <w:szCs w:val="24"/>
          <w:lang w:val="en-FI" w:eastAsia="en-GB"/>
        </w:rPr>
      </w:pPr>
      <w:hyperlink w:anchor="_Toc131756994" w:history="1">
        <w:r w:rsidRPr="00643EB3">
          <w:rPr>
            <w:rStyle w:val="Hyperlink"/>
            <w:noProof/>
          </w:rPr>
          <w:t>Proposal 2</w:t>
        </w:r>
        <w:r>
          <w:rPr>
            <w:rFonts w:asciiTheme="minorHAnsi" w:eastAsiaTheme="minorEastAsia" w:hAnsiTheme="minorHAnsi" w:cstheme="minorBidi"/>
            <w:b w:val="0"/>
            <w:noProof/>
            <w:sz w:val="24"/>
            <w:szCs w:val="24"/>
            <w:lang w:val="en-FI" w:eastAsia="en-GB"/>
          </w:rPr>
          <w:tab/>
        </w:r>
        <w:r w:rsidRPr="00643EB3">
          <w:rPr>
            <w:rStyle w:val="Hyperlink"/>
            <w:noProof/>
          </w:rPr>
          <w:t>RAN2 to agree so send the reply LS to RAN3 in Annex to indicate that both approaches should be supported.</w:t>
        </w:r>
      </w:hyperlink>
    </w:p>
    <w:p w14:paraId="0DCE27AF" w14:textId="371DDBC1" w:rsidR="00AB0BC8" w:rsidRPr="00B51F37" w:rsidRDefault="006E1C82" w:rsidP="00110C86">
      <w:pPr>
        <w:pStyle w:val="BodyText"/>
        <w:rPr>
          <w:b/>
        </w:rPr>
      </w:pPr>
      <w:r>
        <w:rPr>
          <w:b/>
          <w:bCs/>
          <w:lang w:val="en-US"/>
        </w:rPr>
        <w:fldChar w:fldCharType="end"/>
      </w:r>
    </w:p>
    <w:p w14:paraId="7AA8967F" w14:textId="22585C31" w:rsidR="00DC1A23" w:rsidRPr="00B51F37" w:rsidRDefault="00DC1A23" w:rsidP="00DC1A23">
      <w:pPr>
        <w:pStyle w:val="Heading1"/>
      </w:pPr>
      <w:r w:rsidRPr="00B51F37">
        <w:t xml:space="preserve">Annex: Draft </w:t>
      </w:r>
      <w:proofErr w:type="gramStart"/>
      <w:r w:rsidRPr="00B51F37">
        <w:t>reply</w:t>
      </w:r>
      <w:proofErr w:type="gramEnd"/>
      <w:r w:rsidRPr="00B51F37">
        <w:t xml:space="preserve"> LS</w:t>
      </w:r>
      <w:r w:rsidR="00936F18">
        <w:t xml:space="preserve"> to RAN3</w:t>
      </w:r>
    </w:p>
    <w:p w14:paraId="38D52B89" w14:textId="77777777" w:rsidR="00311702" w:rsidRPr="00B51F37" w:rsidRDefault="00311702" w:rsidP="00AB0BC8"/>
    <w:p w14:paraId="63780CBD" w14:textId="664FCBE1" w:rsidR="00063859" w:rsidRPr="00B51F37" w:rsidRDefault="00063859" w:rsidP="00063859">
      <w:pPr>
        <w:widowControl w:val="0"/>
        <w:tabs>
          <w:tab w:val="right" w:pos="9639"/>
          <w:tab w:val="right" w:pos="13323"/>
        </w:tabs>
        <w:overflowPunct/>
        <w:autoSpaceDE/>
        <w:autoSpaceDN/>
        <w:adjustRightInd/>
        <w:spacing w:after="0"/>
        <w:jc w:val="both"/>
        <w:textAlignment w:val="auto"/>
        <w:rPr>
          <w:rFonts w:ascii="Arial" w:eastAsia="MS Gothic" w:hAnsi="Arial"/>
          <w:b/>
          <w:kern w:val="2"/>
          <w:sz w:val="24"/>
          <w:szCs w:val="24"/>
          <w:lang w:eastAsia="ko-KR"/>
        </w:rPr>
      </w:pPr>
      <w:bookmarkStart w:id="25" w:name="Title"/>
      <w:bookmarkStart w:id="26" w:name="DocumentFor"/>
      <w:bookmarkStart w:id="27" w:name="_Hlk40295327"/>
      <w:bookmarkEnd w:id="25"/>
      <w:bookmarkEnd w:id="26"/>
      <w:bookmarkEnd w:id="27"/>
      <w:r w:rsidRPr="00B51F37">
        <w:rPr>
          <w:rFonts w:ascii="Arial" w:eastAsia="MS Gothic" w:hAnsi="Arial"/>
          <w:b/>
          <w:kern w:val="2"/>
          <w:sz w:val="24"/>
          <w:szCs w:val="24"/>
          <w:lang w:eastAsia="zh-CN"/>
        </w:rPr>
        <w:t>3GPP TSG RAN WG2#121bis-e</w:t>
      </w:r>
      <w:r w:rsidRPr="00B51F37">
        <w:rPr>
          <w:rFonts w:ascii="Arial" w:eastAsia="MS Gothic" w:hAnsi="Arial"/>
          <w:b/>
          <w:kern w:val="2"/>
          <w:sz w:val="24"/>
          <w:szCs w:val="24"/>
          <w:lang w:eastAsia="zh-CN"/>
        </w:rPr>
        <w:tab/>
        <w:t>R2-230xxxx</w:t>
      </w:r>
    </w:p>
    <w:p w14:paraId="0F8DA44D" w14:textId="77777777" w:rsidR="00063859" w:rsidRPr="00C47FE4" w:rsidRDefault="00063859" w:rsidP="00063859">
      <w:pPr>
        <w:widowControl w:val="0"/>
        <w:tabs>
          <w:tab w:val="right" w:pos="9639"/>
          <w:tab w:val="right" w:pos="13323"/>
        </w:tabs>
        <w:overflowPunct/>
        <w:autoSpaceDE/>
        <w:autoSpaceDN/>
        <w:adjustRightInd/>
        <w:spacing w:after="0"/>
        <w:jc w:val="both"/>
        <w:textAlignment w:val="auto"/>
        <w:rPr>
          <w:rFonts w:ascii="Arial" w:eastAsia="MS Gothic" w:hAnsi="Arial"/>
          <w:b/>
          <w:noProof/>
          <w:kern w:val="2"/>
          <w:sz w:val="24"/>
          <w:szCs w:val="24"/>
          <w:lang w:val="en-US"/>
        </w:rPr>
      </w:pPr>
      <w:r w:rsidRPr="00C47FE4">
        <w:rPr>
          <w:rFonts w:ascii="Arial" w:eastAsia="MS Gothic" w:hAnsi="Arial"/>
          <w:b/>
          <w:noProof/>
          <w:kern w:val="2"/>
          <w:sz w:val="24"/>
          <w:szCs w:val="24"/>
          <w:lang w:val="en-US" w:eastAsia="zh-CN"/>
        </w:rPr>
        <w:t>Online, 17</w:t>
      </w:r>
      <w:r w:rsidRPr="00C47FE4">
        <w:rPr>
          <w:rFonts w:ascii="Arial" w:eastAsia="MS Gothic" w:hAnsi="Arial"/>
          <w:b/>
          <w:noProof/>
          <w:kern w:val="2"/>
          <w:sz w:val="24"/>
          <w:szCs w:val="24"/>
          <w:vertAlign w:val="superscript"/>
          <w:lang w:val="en-US" w:eastAsia="zh-CN"/>
        </w:rPr>
        <w:t>th</w:t>
      </w:r>
      <w:r w:rsidRPr="00C47FE4">
        <w:rPr>
          <w:rFonts w:ascii="Arial" w:eastAsia="MS Gothic" w:hAnsi="Arial"/>
          <w:b/>
          <w:noProof/>
          <w:kern w:val="2"/>
          <w:sz w:val="24"/>
          <w:szCs w:val="24"/>
          <w:lang w:val="en-US" w:eastAsia="zh-CN"/>
        </w:rPr>
        <w:t xml:space="preserve"> - 26</w:t>
      </w:r>
      <w:r w:rsidRPr="00C47FE4">
        <w:rPr>
          <w:rFonts w:ascii="Arial" w:eastAsia="MS Gothic" w:hAnsi="Arial"/>
          <w:b/>
          <w:noProof/>
          <w:kern w:val="2"/>
          <w:sz w:val="24"/>
          <w:szCs w:val="24"/>
          <w:vertAlign w:val="superscript"/>
          <w:lang w:val="en-US" w:eastAsia="zh-CN"/>
        </w:rPr>
        <w:t>th</w:t>
      </w:r>
      <w:r w:rsidRPr="00C47FE4">
        <w:rPr>
          <w:rFonts w:ascii="Arial" w:eastAsia="MS Gothic" w:hAnsi="Arial"/>
          <w:b/>
          <w:noProof/>
          <w:kern w:val="2"/>
          <w:sz w:val="24"/>
          <w:szCs w:val="24"/>
          <w:lang w:val="en-US" w:eastAsia="zh-CN"/>
        </w:rPr>
        <w:t xml:space="preserve"> April, 2023</w:t>
      </w:r>
    </w:p>
    <w:p w14:paraId="66D449F1" w14:textId="77777777" w:rsidR="00063859" w:rsidRPr="00E94A89" w:rsidRDefault="00063859" w:rsidP="00063859">
      <w:pPr>
        <w:rPr>
          <w:rFonts w:ascii="Arial" w:hAnsi="Arial" w:cs="Arial"/>
        </w:rPr>
      </w:pPr>
    </w:p>
    <w:p w14:paraId="40EC787C" w14:textId="77777777" w:rsidR="002C2D92" w:rsidRDefault="002C2D92" w:rsidP="00063859">
      <w:pPr>
        <w:spacing w:after="60"/>
        <w:ind w:left="1985" w:hanging="1985"/>
        <w:rPr>
          <w:rFonts w:ascii="Arial" w:hAnsi="Arial" w:cs="Arial"/>
          <w:b/>
        </w:rPr>
      </w:pPr>
    </w:p>
    <w:p w14:paraId="792595CA" w14:textId="0E72CF32" w:rsidR="00063859" w:rsidRPr="00185633" w:rsidRDefault="00063859" w:rsidP="00063859">
      <w:pPr>
        <w:spacing w:after="60"/>
        <w:ind w:left="1985" w:hanging="1985"/>
        <w:rPr>
          <w:rFonts w:ascii="Arial" w:hAnsi="Arial" w:cs="Arial"/>
          <w:b/>
        </w:rPr>
      </w:pPr>
      <w:r w:rsidRPr="00185633">
        <w:rPr>
          <w:rFonts w:ascii="Arial" w:hAnsi="Arial" w:cs="Arial"/>
          <w:b/>
        </w:rPr>
        <w:t>Title:</w:t>
      </w:r>
      <w:r w:rsidRPr="00185633">
        <w:rPr>
          <w:rFonts w:ascii="Arial" w:hAnsi="Arial" w:cs="Arial"/>
          <w:b/>
        </w:rPr>
        <w:tab/>
      </w:r>
      <w:r w:rsidR="0011551B">
        <w:rPr>
          <w:rFonts w:ascii="Arial" w:hAnsi="Arial" w:cs="Arial"/>
          <w:b/>
        </w:rPr>
        <w:t>[</w:t>
      </w:r>
      <w:r w:rsidR="00387263" w:rsidRPr="00011EDA">
        <w:rPr>
          <w:rFonts w:ascii="Arial" w:hAnsi="Arial" w:cs="Arial"/>
          <w:bCs/>
          <w:highlight w:val="yellow"/>
        </w:rPr>
        <w:t>DRAFT</w:t>
      </w:r>
      <w:r w:rsidR="0011551B">
        <w:rPr>
          <w:rFonts w:ascii="Arial" w:hAnsi="Arial" w:cs="Arial"/>
          <w:bCs/>
        </w:rPr>
        <w:t>]</w:t>
      </w:r>
      <w:r w:rsidR="00B304BE" w:rsidRPr="00011EDA">
        <w:rPr>
          <w:rFonts w:ascii="Arial" w:hAnsi="Arial" w:cs="Arial"/>
          <w:bCs/>
        </w:rPr>
        <w:t xml:space="preserve"> </w:t>
      </w:r>
      <w:r w:rsidR="00102D70" w:rsidRPr="00011EDA">
        <w:rPr>
          <w:rFonts w:ascii="Arial" w:hAnsi="Arial" w:cs="Arial"/>
          <w:bCs/>
        </w:rPr>
        <w:t xml:space="preserve">Reply </w:t>
      </w:r>
      <w:r w:rsidRPr="00011EDA">
        <w:rPr>
          <w:rFonts w:ascii="Arial" w:hAnsi="Arial" w:cs="Arial"/>
          <w:bCs/>
        </w:rPr>
        <w:t xml:space="preserve">LS on </w:t>
      </w:r>
      <w:bookmarkStart w:id="28" w:name="_Hlk131577177"/>
      <w:r w:rsidRPr="00011EDA">
        <w:rPr>
          <w:rFonts w:ascii="Arial" w:hAnsi="Arial" w:cs="Arial"/>
          <w:bCs/>
        </w:rPr>
        <w:t>Approaches during execution for inter-DU LTM</w:t>
      </w:r>
      <w:bookmarkEnd w:id="28"/>
    </w:p>
    <w:p w14:paraId="31F04E29" w14:textId="306A5B03" w:rsidR="00063859" w:rsidRPr="00185633" w:rsidRDefault="00063859" w:rsidP="00063859">
      <w:pPr>
        <w:spacing w:after="60"/>
        <w:ind w:left="1985" w:hanging="1985"/>
        <w:rPr>
          <w:rFonts w:ascii="Arial" w:hAnsi="Arial" w:cs="Arial"/>
          <w:b/>
        </w:rPr>
      </w:pPr>
      <w:r w:rsidRPr="00185633">
        <w:rPr>
          <w:rFonts w:ascii="Arial" w:hAnsi="Arial" w:cs="Arial"/>
          <w:b/>
        </w:rPr>
        <w:t>Response to:</w:t>
      </w:r>
      <w:r w:rsidRPr="00185633">
        <w:rPr>
          <w:rFonts w:ascii="Arial" w:hAnsi="Arial" w:cs="Arial"/>
          <w:b/>
        </w:rPr>
        <w:tab/>
      </w:r>
      <w:r w:rsidR="00934527" w:rsidRPr="00011EDA">
        <w:rPr>
          <w:rFonts w:ascii="Arial" w:hAnsi="Arial" w:cs="Arial"/>
          <w:bCs/>
        </w:rPr>
        <w:t>R2-2302458</w:t>
      </w:r>
      <w:r w:rsidR="004A4306" w:rsidRPr="00011EDA">
        <w:rPr>
          <w:rFonts w:ascii="Arial" w:hAnsi="Arial" w:cs="Arial"/>
          <w:bCs/>
        </w:rPr>
        <w:t xml:space="preserve"> </w:t>
      </w:r>
      <w:r w:rsidR="00934527" w:rsidRPr="00011EDA">
        <w:rPr>
          <w:rFonts w:ascii="Arial" w:hAnsi="Arial" w:cs="Arial"/>
          <w:bCs/>
        </w:rPr>
        <w:t>/</w:t>
      </w:r>
      <w:r w:rsidR="004A4306" w:rsidRPr="00011EDA">
        <w:rPr>
          <w:rFonts w:ascii="Arial" w:hAnsi="Arial" w:cs="Arial"/>
          <w:bCs/>
        </w:rPr>
        <w:t xml:space="preserve"> </w:t>
      </w:r>
      <w:r w:rsidR="00934527" w:rsidRPr="00011EDA">
        <w:rPr>
          <w:rFonts w:ascii="Arial" w:hAnsi="Arial" w:cs="Arial"/>
          <w:bCs/>
        </w:rPr>
        <w:t>R3-230889</w:t>
      </w:r>
    </w:p>
    <w:p w14:paraId="6AF34466" w14:textId="77777777" w:rsidR="00063859" w:rsidRPr="00185633" w:rsidRDefault="00063859" w:rsidP="00063859">
      <w:pPr>
        <w:spacing w:after="60"/>
        <w:ind w:left="1985" w:hanging="1985"/>
        <w:rPr>
          <w:rFonts w:ascii="Arial" w:hAnsi="Arial" w:cs="Arial"/>
          <w:b/>
        </w:rPr>
      </w:pPr>
      <w:r w:rsidRPr="00185633">
        <w:rPr>
          <w:rFonts w:ascii="Arial" w:hAnsi="Arial" w:cs="Arial"/>
          <w:b/>
        </w:rPr>
        <w:t>Release:</w:t>
      </w:r>
      <w:r w:rsidRPr="00185633">
        <w:rPr>
          <w:rFonts w:ascii="Arial" w:hAnsi="Arial" w:cs="Arial"/>
          <w:b/>
        </w:rPr>
        <w:tab/>
      </w:r>
      <w:r w:rsidRPr="00011EDA">
        <w:rPr>
          <w:rFonts w:ascii="Arial" w:hAnsi="Arial" w:cs="Arial"/>
          <w:bCs/>
        </w:rPr>
        <w:t>Rel-18</w:t>
      </w:r>
    </w:p>
    <w:p w14:paraId="1193DE2A" w14:textId="77777777" w:rsidR="00063859" w:rsidRPr="00185633" w:rsidRDefault="00063859" w:rsidP="00063859">
      <w:pPr>
        <w:spacing w:after="60"/>
        <w:ind w:left="1985" w:hanging="1985"/>
        <w:rPr>
          <w:rFonts w:ascii="Arial" w:hAnsi="Arial" w:cs="Arial"/>
          <w:b/>
        </w:rPr>
      </w:pPr>
      <w:r w:rsidRPr="00185633">
        <w:rPr>
          <w:rFonts w:ascii="Arial" w:hAnsi="Arial" w:cs="Arial"/>
          <w:b/>
        </w:rPr>
        <w:t>Work Item:</w:t>
      </w:r>
      <w:r w:rsidRPr="00185633">
        <w:rPr>
          <w:rFonts w:ascii="Arial" w:hAnsi="Arial" w:cs="Arial"/>
          <w:b/>
        </w:rPr>
        <w:tab/>
      </w:r>
      <w:r w:rsidRPr="00011EDA">
        <w:rPr>
          <w:rFonts w:ascii="Arial" w:hAnsi="Arial" w:cs="Arial"/>
          <w:bCs/>
        </w:rPr>
        <w:t>NR_mob_enh2-Core</w:t>
      </w:r>
    </w:p>
    <w:p w14:paraId="70BEB451" w14:textId="77777777" w:rsidR="00063859" w:rsidRPr="00185633" w:rsidRDefault="00063859" w:rsidP="00063859">
      <w:pPr>
        <w:spacing w:after="60"/>
        <w:ind w:left="1985" w:hanging="1985"/>
        <w:rPr>
          <w:rFonts w:ascii="Arial" w:hAnsi="Arial" w:cs="Arial"/>
          <w:b/>
        </w:rPr>
      </w:pPr>
    </w:p>
    <w:p w14:paraId="5F187711" w14:textId="64A15DB9" w:rsidR="00063859" w:rsidRPr="00185633" w:rsidRDefault="00063859" w:rsidP="00063859">
      <w:pPr>
        <w:spacing w:after="60"/>
        <w:ind w:left="1985" w:hanging="1985"/>
        <w:rPr>
          <w:rFonts w:ascii="Arial" w:hAnsi="Arial" w:cs="Arial"/>
          <w:b/>
        </w:rPr>
      </w:pPr>
      <w:r w:rsidRPr="00185633">
        <w:rPr>
          <w:rFonts w:ascii="Arial" w:hAnsi="Arial" w:cs="Arial"/>
          <w:b/>
        </w:rPr>
        <w:t>Source:</w:t>
      </w:r>
      <w:r w:rsidRPr="00185633">
        <w:rPr>
          <w:rFonts w:ascii="Arial" w:hAnsi="Arial" w:cs="Arial"/>
          <w:b/>
        </w:rPr>
        <w:tab/>
      </w:r>
      <w:r w:rsidR="00180CDB" w:rsidRPr="00011EDA">
        <w:rPr>
          <w:rFonts w:ascii="Arial" w:hAnsi="Arial" w:cs="Arial"/>
          <w:bCs/>
        </w:rPr>
        <w:t>Ericsson (</w:t>
      </w:r>
      <w:r w:rsidR="00637067" w:rsidRPr="00011EDA">
        <w:rPr>
          <w:rFonts w:ascii="Arial" w:hAnsi="Arial" w:cs="Arial"/>
          <w:bCs/>
        </w:rPr>
        <w:t xml:space="preserve">to be </w:t>
      </w:r>
      <w:r w:rsidRPr="00011EDA">
        <w:rPr>
          <w:rFonts w:ascii="Arial" w:hAnsi="Arial" w:cs="Arial"/>
          <w:bCs/>
        </w:rPr>
        <w:t>RAN</w:t>
      </w:r>
      <w:r w:rsidR="00102D70" w:rsidRPr="00011EDA">
        <w:rPr>
          <w:rFonts w:ascii="Arial" w:hAnsi="Arial" w:cs="Arial"/>
          <w:bCs/>
        </w:rPr>
        <w:t>2</w:t>
      </w:r>
      <w:r w:rsidR="00A06A68" w:rsidRPr="00011EDA">
        <w:rPr>
          <w:rFonts w:ascii="Arial" w:hAnsi="Arial" w:cs="Arial"/>
          <w:bCs/>
        </w:rPr>
        <w:t>)</w:t>
      </w:r>
    </w:p>
    <w:p w14:paraId="489CB9E4" w14:textId="7F930F58" w:rsidR="00063859" w:rsidRPr="00185633" w:rsidRDefault="00063859" w:rsidP="00063859">
      <w:pPr>
        <w:spacing w:after="60"/>
        <w:ind w:left="1985" w:hanging="1985"/>
        <w:rPr>
          <w:rFonts w:ascii="Arial" w:hAnsi="Arial" w:cs="Arial"/>
          <w:b/>
        </w:rPr>
      </w:pPr>
      <w:r w:rsidRPr="00185633">
        <w:rPr>
          <w:rFonts w:ascii="Arial" w:hAnsi="Arial" w:cs="Arial"/>
          <w:b/>
        </w:rPr>
        <w:t>To:</w:t>
      </w:r>
      <w:r w:rsidRPr="00185633">
        <w:rPr>
          <w:rFonts w:ascii="Arial" w:hAnsi="Arial" w:cs="Arial"/>
          <w:b/>
        </w:rPr>
        <w:tab/>
      </w:r>
      <w:r w:rsidRPr="00011EDA">
        <w:rPr>
          <w:rFonts w:ascii="Arial" w:hAnsi="Arial" w:cs="Arial"/>
          <w:bCs/>
        </w:rPr>
        <w:t>RAN</w:t>
      </w:r>
      <w:r w:rsidR="00102D70" w:rsidRPr="00011EDA">
        <w:rPr>
          <w:rFonts w:ascii="Arial" w:hAnsi="Arial" w:cs="Arial"/>
          <w:bCs/>
        </w:rPr>
        <w:t>3</w:t>
      </w:r>
    </w:p>
    <w:p w14:paraId="3F943D30" w14:textId="77777777" w:rsidR="00063859" w:rsidRPr="00011EDA" w:rsidRDefault="00063859" w:rsidP="00063859">
      <w:pPr>
        <w:spacing w:after="60"/>
        <w:ind w:left="1985" w:hanging="1985"/>
        <w:rPr>
          <w:rFonts w:ascii="Arial" w:hAnsi="Arial" w:cs="Arial"/>
          <w:bCs/>
        </w:rPr>
      </w:pPr>
      <w:r w:rsidRPr="00185633">
        <w:rPr>
          <w:rFonts w:ascii="Arial" w:hAnsi="Arial" w:cs="Arial"/>
          <w:b/>
        </w:rPr>
        <w:t>Cc:</w:t>
      </w:r>
      <w:r w:rsidRPr="00185633">
        <w:rPr>
          <w:rFonts w:ascii="Arial" w:hAnsi="Arial" w:cs="Arial"/>
          <w:b/>
        </w:rPr>
        <w:tab/>
      </w:r>
      <w:r w:rsidRPr="00011EDA">
        <w:rPr>
          <w:rFonts w:ascii="Arial" w:hAnsi="Arial" w:cs="Arial"/>
          <w:bCs/>
        </w:rPr>
        <w:t>RAN1</w:t>
      </w:r>
    </w:p>
    <w:p w14:paraId="34FC40B7" w14:textId="77777777" w:rsidR="00063859" w:rsidRPr="00E94A89" w:rsidRDefault="00063859" w:rsidP="00063859">
      <w:pPr>
        <w:spacing w:after="60"/>
        <w:ind w:left="1985" w:hanging="1985"/>
        <w:rPr>
          <w:rFonts w:ascii="Arial" w:hAnsi="Arial" w:cs="Arial"/>
          <w:bCs/>
        </w:rPr>
      </w:pPr>
    </w:p>
    <w:p w14:paraId="4C4B83FF" w14:textId="77777777" w:rsidR="00063859" w:rsidRPr="00E94A89" w:rsidRDefault="00063859" w:rsidP="00063859">
      <w:pPr>
        <w:tabs>
          <w:tab w:val="left" w:pos="2268"/>
        </w:tabs>
        <w:rPr>
          <w:rFonts w:ascii="Arial" w:hAnsi="Arial" w:cs="Arial"/>
          <w:bCs/>
        </w:rPr>
      </w:pPr>
      <w:r w:rsidRPr="00E94A89">
        <w:rPr>
          <w:rFonts w:ascii="Arial" w:hAnsi="Arial" w:cs="Arial"/>
          <w:b/>
        </w:rPr>
        <w:t>Contact Person:</w:t>
      </w:r>
      <w:r w:rsidRPr="00E94A89">
        <w:rPr>
          <w:rFonts w:ascii="Arial" w:hAnsi="Arial" w:cs="Arial"/>
          <w:bCs/>
        </w:rPr>
        <w:tab/>
      </w:r>
    </w:p>
    <w:p w14:paraId="0813AD79" w14:textId="309160BF"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Name:</w:t>
      </w:r>
      <w:r w:rsidRPr="00AC05BD">
        <w:rPr>
          <w:rFonts w:ascii="Arial" w:hAnsi="Arial" w:cs="Arial"/>
          <w:bCs/>
          <w:lang w:val="it-IT"/>
        </w:rPr>
        <w:tab/>
      </w:r>
      <w:r w:rsidR="005D3097" w:rsidRPr="00AC05BD">
        <w:rPr>
          <w:rFonts w:ascii="Arial" w:hAnsi="Arial" w:cs="Arial"/>
          <w:bCs/>
          <w:lang w:val="it-IT"/>
        </w:rPr>
        <w:t>Antonino Orsino</w:t>
      </w:r>
    </w:p>
    <w:p w14:paraId="75F2BAA5" w14:textId="06B2E249" w:rsidR="00063859" w:rsidRPr="00AC05BD" w:rsidRDefault="00063859" w:rsidP="00472A96">
      <w:pPr>
        <w:spacing w:after="60"/>
        <w:ind w:left="2552" w:hanging="1985"/>
        <w:rPr>
          <w:rFonts w:ascii="Arial" w:hAnsi="Arial" w:cs="Arial"/>
          <w:bCs/>
          <w:lang w:val="it-IT"/>
        </w:rPr>
      </w:pPr>
      <w:r w:rsidRPr="00AC05BD">
        <w:rPr>
          <w:rFonts w:ascii="Arial" w:hAnsi="Arial" w:cs="Arial"/>
          <w:bCs/>
          <w:lang w:val="it-IT"/>
        </w:rPr>
        <w:t>E-mail Address:</w:t>
      </w:r>
      <w:r w:rsidRPr="00AC05BD">
        <w:rPr>
          <w:rFonts w:ascii="Arial" w:hAnsi="Arial" w:cs="Arial"/>
          <w:bCs/>
          <w:lang w:val="it-IT"/>
        </w:rPr>
        <w:tab/>
      </w:r>
      <w:hyperlink r:id="rId17" w:history="1">
        <w:r w:rsidR="00185633" w:rsidRPr="00AC05BD">
          <w:rPr>
            <w:rStyle w:val="Hyperlink"/>
            <w:rFonts w:ascii="Arial" w:hAnsi="Arial" w:cs="Arial"/>
            <w:bCs/>
            <w:lang w:val="it-IT"/>
          </w:rPr>
          <w:t>antonino.orsino@ericsson.com</w:t>
        </w:r>
      </w:hyperlink>
    </w:p>
    <w:p w14:paraId="45EAA4D2" w14:textId="77777777" w:rsidR="00611AB8" w:rsidRDefault="00611AB8" w:rsidP="00611AB8">
      <w:pPr>
        <w:tabs>
          <w:tab w:val="left" w:pos="2268"/>
        </w:tabs>
        <w:rPr>
          <w:rFonts w:ascii="Arial" w:hAnsi="Arial" w:cs="Arial"/>
          <w:b/>
        </w:rPr>
      </w:pPr>
    </w:p>
    <w:p w14:paraId="36024E8F" w14:textId="06D21E8C" w:rsidR="00611AB8" w:rsidRDefault="00611AB8" w:rsidP="00611AB8">
      <w:pPr>
        <w:tabs>
          <w:tab w:val="left" w:pos="2268"/>
        </w:tabs>
        <w:rPr>
          <w:rFonts w:ascii="Arial" w:hAnsi="Arial" w:cs="Arial"/>
          <w:bCs/>
        </w:rPr>
      </w:pPr>
      <w:r>
        <w:rPr>
          <w:rFonts w:ascii="Arial" w:hAnsi="Arial" w:cs="Arial"/>
          <w:b/>
        </w:rPr>
        <w:t xml:space="preserve">Send any </w:t>
      </w:r>
      <w:proofErr w:type="gramStart"/>
      <w:r>
        <w:rPr>
          <w:rFonts w:ascii="Arial" w:hAnsi="Arial" w:cs="Arial"/>
          <w:b/>
        </w:rPr>
        <w:t>reply</w:t>
      </w:r>
      <w:proofErr w:type="gramEnd"/>
      <w:r>
        <w:rPr>
          <w:rFonts w:ascii="Arial" w:hAnsi="Arial" w:cs="Arial"/>
          <w:b/>
        </w:rPr>
        <w:t xml:space="preserve"> LS to:</w:t>
      </w:r>
      <w:r>
        <w:rPr>
          <w:rFonts w:ascii="Arial" w:hAnsi="Arial" w:cs="Arial"/>
          <w:b/>
        </w:rPr>
        <w:tab/>
        <w:t xml:space="preserve">3GPP Liaisons Coordinator, </w:t>
      </w:r>
      <w:hyperlink r:id="rId18" w:history="1">
        <w:r>
          <w:rPr>
            <w:rStyle w:val="Hyperlink"/>
            <w:rFonts w:ascii="Arial" w:hAnsi="Arial" w:cs="Arial"/>
            <w:b/>
          </w:rPr>
          <w:t>mailto:3GPPLiaison@etsi.org</w:t>
        </w:r>
      </w:hyperlink>
    </w:p>
    <w:p w14:paraId="042FBA14" w14:textId="77777777" w:rsidR="00611AB8" w:rsidRPr="00611AB8" w:rsidRDefault="00611AB8" w:rsidP="00063859">
      <w:pPr>
        <w:spacing w:after="60"/>
        <w:rPr>
          <w:rFonts w:ascii="Arial" w:hAnsi="Arial" w:cs="Arial"/>
          <w:b/>
        </w:rPr>
      </w:pPr>
    </w:p>
    <w:p w14:paraId="22CDE148" w14:textId="4A16BB0F" w:rsidR="00063859" w:rsidRPr="00E94A89" w:rsidRDefault="00063859" w:rsidP="00063859">
      <w:pPr>
        <w:spacing w:after="60"/>
        <w:ind w:left="1985" w:hanging="1985"/>
        <w:rPr>
          <w:rFonts w:ascii="Arial" w:hAnsi="Arial" w:cs="Arial"/>
          <w:bCs/>
        </w:rPr>
      </w:pPr>
      <w:r w:rsidRPr="00E94A89">
        <w:rPr>
          <w:rFonts w:ascii="Arial" w:hAnsi="Arial" w:cs="Arial"/>
          <w:b/>
        </w:rPr>
        <w:t>Attachments:</w:t>
      </w:r>
      <w:r w:rsidRPr="00E94A89">
        <w:rPr>
          <w:rFonts w:ascii="Arial" w:hAnsi="Arial" w:cs="Arial"/>
          <w:bCs/>
        </w:rPr>
        <w:tab/>
      </w:r>
      <w:r w:rsidR="00B94AE0">
        <w:rPr>
          <w:rFonts w:ascii="Arial" w:hAnsi="Arial" w:cs="Arial"/>
          <w:bCs/>
        </w:rPr>
        <w:t>None</w:t>
      </w:r>
    </w:p>
    <w:p w14:paraId="4F484CC4" w14:textId="77777777" w:rsidR="00063859" w:rsidRPr="00E94A89" w:rsidRDefault="00063859" w:rsidP="00063859">
      <w:pPr>
        <w:pBdr>
          <w:bottom w:val="single" w:sz="4" w:space="1" w:color="auto"/>
        </w:pBdr>
        <w:rPr>
          <w:rFonts w:ascii="Arial" w:hAnsi="Arial" w:cs="Arial"/>
        </w:rPr>
      </w:pPr>
    </w:p>
    <w:p w14:paraId="23B5CB3B" w14:textId="77777777" w:rsidR="00063859" w:rsidRPr="00E94A89" w:rsidRDefault="00063859" w:rsidP="00063859">
      <w:pPr>
        <w:rPr>
          <w:rFonts w:ascii="Arial" w:hAnsi="Arial" w:cs="Arial"/>
        </w:rPr>
      </w:pPr>
    </w:p>
    <w:p w14:paraId="1042499D" w14:textId="77777777" w:rsidR="00063859" w:rsidRPr="00E94A89" w:rsidRDefault="00063859" w:rsidP="00063859">
      <w:pPr>
        <w:spacing w:after="120"/>
        <w:rPr>
          <w:rFonts w:ascii="Arial" w:hAnsi="Arial" w:cs="Arial"/>
          <w:b/>
        </w:rPr>
      </w:pPr>
      <w:r w:rsidRPr="00E94A89">
        <w:rPr>
          <w:rFonts w:ascii="Arial" w:hAnsi="Arial" w:cs="Arial"/>
          <w:b/>
        </w:rPr>
        <w:t xml:space="preserve">1. Overall Description: </w:t>
      </w:r>
    </w:p>
    <w:p w14:paraId="69538519" w14:textId="3FE78B8A" w:rsidR="00224A4E" w:rsidRDefault="00224A4E" w:rsidP="00063859">
      <w:pPr>
        <w:spacing w:after="120"/>
        <w:rPr>
          <w:rFonts w:ascii="Arial" w:hAnsi="Arial" w:cs="Arial"/>
        </w:rPr>
      </w:pPr>
      <w:r>
        <w:rPr>
          <w:rFonts w:ascii="Arial" w:hAnsi="Arial" w:cs="Arial"/>
        </w:rPr>
        <w:t xml:space="preserve">RAN2 thanks RAN3 for their LS on </w:t>
      </w:r>
      <w:r w:rsidR="00642EEE">
        <w:rPr>
          <w:rFonts w:ascii="Arial" w:hAnsi="Arial" w:cs="Arial"/>
        </w:rPr>
        <w:t>a</w:t>
      </w:r>
      <w:r w:rsidRPr="00224A4E">
        <w:rPr>
          <w:rFonts w:ascii="Arial" w:hAnsi="Arial" w:cs="Arial"/>
        </w:rPr>
        <w:t>pproaches during execution for inter-DU LTM</w:t>
      </w:r>
      <w:r w:rsidR="004A4306">
        <w:rPr>
          <w:rFonts w:ascii="Arial" w:hAnsi="Arial" w:cs="Arial"/>
        </w:rPr>
        <w:t xml:space="preserve"> (</w:t>
      </w:r>
      <w:r w:rsidR="004A4306" w:rsidRPr="004A4306">
        <w:rPr>
          <w:rFonts w:ascii="Arial" w:hAnsi="Arial" w:cs="Arial"/>
        </w:rPr>
        <w:t>R2-2302458 / R3-230889</w:t>
      </w:r>
      <w:r w:rsidR="004A4306">
        <w:rPr>
          <w:rFonts w:ascii="Arial" w:hAnsi="Arial" w:cs="Arial"/>
        </w:rPr>
        <w:t>)</w:t>
      </w:r>
      <w:r>
        <w:rPr>
          <w:rFonts w:ascii="Arial" w:hAnsi="Arial" w:cs="Arial"/>
        </w:rPr>
        <w:t>.</w:t>
      </w:r>
    </w:p>
    <w:p w14:paraId="7691F643" w14:textId="4902E465" w:rsidR="0035491D" w:rsidRDefault="00063859" w:rsidP="00224A4E">
      <w:pPr>
        <w:spacing w:after="120"/>
        <w:rPr>
          <w:rFonts w:ascii="Arial" w:hAnsi="Arial" w:cs="Arial"/>
        </w:rPr>
      </w:pPr>
      <w:r>
        <w:rPr>
          <w:rFonts w:ascii="Arial" w:hAnsi="Arial" w:cs="Arial"/>
        </w:rPr>
        <w:t>RAN</w:t>
      </w:r>
      <w:r w:rsidR="00224A4E">
        <w:rPr>
          <w:rFonts w:ascii="Arial" w:hAnsi="Arial" w:cs="Arial"/>
        </w:rPr>
        <w:t>2</w:t>
      </w:r>
      <w:r>
        <w:rPr>
          <w:rFonts w:ascii="Arial" w:hAnsi="Arial" w:cs="Arial"/>
        </w:rPr>
        <w:t xml:space="preserve"> has discussed</w:t>
      </w:r>
      <w:r w:rsidR="00392DF3">
        <w:rPr>
          <w:rFonts w:ascii="Arial" w:hAnsi="Arial" w:cs="Arial"/>
        </w:rPr>
        <w:t xml:space="preserve"> the two execution approaches identified by</w:t>
      </w:r>
      <w:r w:rsidR="00E1517C">
        <w:rPr>
          <w:rFonts w:ascii="Arial" w:hAnsi="Arial" w:cs="Arial"/>
        </w:rPr>
        <w:t xml:space="preserve"> RAN3</w:t>
      </w:r>
      <w:r w:rsidR="0035491D">
        <w:rPr>
          <w:rFonts w:ascii="Arial" w:hAnsi="Arial" w:cs="Arial"/>
        </w:rPr>
        <w:t>:</w:t>
      </w:r>
    </w:p>
    <w:p w14:paraId="54005F9C" w14:textId="77777777" w:rsidR="001D6EAD" w:rsidRPr="00E075D5" w:rsidRDefault="001D6EAD" w:rsidP="00E075D5">
      <w:pPr>
        <w:pStyle w:val="BodyText"/>
        <w:numPr>
          <w:ilvl w:val="0"/>
          <w:numId w:val="32"/>
        </w:numPr>
        <w:rPr>
          <w:rFonts w:cs="Arial"/>
        </w:rPr>
      </w:pPr>
      <w:r w:rsidRPr="00E075D5">
        <w:rPr>
          <w:rFonts w:cs="Arial"/>
        </w:rPr>
        <w:t xml:space="preserve">Approach 1: the serving </w:t>
      </w:r>
      <w:r w:rsidRPr="00E075D5">
        <w:rPr>
          <w:rFonts w:cs="Arial"/>
          <w:lang w:eastAsia="en-GB"/>
        </w:rPr>
        <w:t>gNB-</w:t>
      </w:r>
      <w:r w:rsidRPr="00E075D5">
        <w:rPr>
          <w:rFonts w:cs="Arial"/>
        </w:rPr>
        <w:t xml:space="preserve">DU triggers the execution by transmitting LTM cell switch command to the UE and then informs the </w:t>
      </w:r>
      <w:r w:rsidRPr="00E075D5">
        <w:rPr>
          <w:rFonts w:cs="Arial"/>
          <w:lang w:eastAsia="en-GB"/>
        </w:rPr>
        <w:t>gNB-</w:t>
      </w:r>
      <w:r w:rsidRPr="00E075D5">
        <w:rPr>
          <w:rFonts w:cs="Arial"/>
        </w:rPr>
        <w:t>CU of the serving cell switch.</w:t>
      </w:r>
    </w:p>
    <w:p w14:paraId="2D60D544" w14:textId="77777777" w:rsidR="001D6EAD" w:rsidRPr="00E075D5" w:rsidRDefault="001D6EAD" w:rsidP="00E075D5">
      <w:pPr>
        <w:pStyle w:val="BodyText"/>
        <w:numPr>
          <w:ilvl w:val="0"/>
          <w:numId w:val="32"/>
        </w:numPr>
        <w:rPr>
          <w:rFonts w:cs="Arial"/>
        </w:rPr>
      </w:pPr>
      <w:r w:rsidRPr="00E075D5">
        <w:rPr>
          <w:rFonts w:cs="Arial"/>
        </w:rPr>
        <w:t xml:space="preserve">Approach 2: the serving </w:t>
      </w:r>
      <w:r w:rsidRPr="00E075D5">
        <w:rPr>
          <w:rFonts w:cs="Arial"/>
          <w:lang w:eastAsia="en-GB"/>
        </w:rPr>
        <w:t>gNB-</w:t>
      </w:r>
      <w:r w:rsidRPr="00E075D5">
        <w:rPr>
          <w:rFonts w:cs="Arial"/>
        </w:rPr>
        <w:t xml:space="preserve">DU first requests information from target DU before </w:t>
      </w:r>
      <w:r w:rsidRPr="00E075D5">
        <w:rPr>
          <w:rFonts w:eastAsia="SimSun" w:cs="Arial"/>
          <w:bCs/>
        </w:rPr>
        <w:t>triggering LTM</w:t>
      </w:r>
      <w:r w:rsidRPr="00E075D5">
        <w:rPr>
          <w:rFonts w:cs="Arial"/>
        </w:rPr>
        <w:t xml:space="preserve"> cell switch command to the UE.</w:t>
      </w:r>
    </w:p>
    <w:p w14:paraId="6893FF71" w14:textId="33B5719C" w:rsidR="00AF3EDA" w:rsidRDefault="003A7440" w:rsidP="00224A4E">
      <w:pPr>
        <w:spacing w:after="120"/>
        <w:rPr>
          <w:rFonts w:ascii="Arial" w:hAnsi="Arial" w:cs="Arial"/>
        </w:rPr>
      </w:pPr>
      <w:r>
        <w:rPr>
          <w:rFonts w:ascii="Arial" w:hAnsi="Arial" w:cs="Arial"/>
        </w:rPr>
        <w:t>RAN2 thinks that approach</w:t>
      </w:r>
      <w:r w:rsidR="00EC65B7">
        <w:rPr>
          <w:rFonts w:ascii="Arial" w:hAnsi="Arial" w:cs="Arial"/>
        </w:rPr>
        <w:t xml:space="preserve"> 2 has some advantages over approach 1</w:t>
      </w:r>
      <w:r w:rsidR="00E9210D">
        <w:rPr>
          <w:rFonts w:ascii="Arial" w:hAnsi="Arial" w:cs="Arial"/>
        </w:rPr>
        <w:t>.</w:t>
      </w:r>
      <w:r w:rsidR="00EC65B7">
        <w:rPr>
          <w:rFonts w:ascii="Arial" w:hAnsi="Arial" w:cs="Arial"/>
        </w:rPr>
        <w:t xml:space="preserve"> </w:t>
      </w:r>
      <w:r w:rsidR="00E9210D">
        <w:rPr>
          <w:rFonts w:ascii="Arial" w:hAnsi="Arial" w:cs="Arial"/>
        </w:rPr>
        <w:t>For example</w:t>
      </w:r>
      <w:r w:rsidR="00BF04C5">
        <w:rPr>
          <w:rFonts w:ascii="Arial" w:hAnsi="Arial" w:cs="Arial"/>
        </w:rPr>
        <w:t xml:space="preserve">, </w:t>
      </w:r>
      <w:r w:rsidR="00EC65B7">
        <w:rPr>
          <w:rFonts w:ascii="Arial" w:hAnsi="Arial" w:cs="Arial"/>
        </w:rPr>
        <w:t xml:space="preserve">it enables the serving DU to include dynamic information set by the target DU, such as information needed for RACH-less LTM cell switch, in the LTM cell switch command. It also makes the target DU </w:t>
      </w:r>
      <w:r w:rsidR="00B71704">
        <w:rPr>
          <w:rFonts w:ascii="Arial" w:hAnsi="Arial" w:cs="Arial"/>
        </w:rPr>
        <w:t>a</w:t>
      </w:r>
      <w:r w:rsidR="00EC65B7">
        <w:rPr>
          <w:rFonts w:ascii="Arial" w:hAnsi="Arial" w:cs="Arial"/>
        </w:rPr>
        <w:t xml:space="preserve">ware of that the UE is coming </w:t>
      </w:r>
      <w:r w:rsidR="00B71704">
        <w:rPr>
          <w:rFonts w:ascii="Arial" w:hAnsi="Arial" w:cs="Arial"/>
        </w:rPr>
        <w:t xml:space="preserve">at the point of execution </w:t>
      </w:r>
      <w:r w:rsidR="00EC65B7">
        <w:rPr>
          <w:rFonts w:ascii="Arial" w:hAnsi="Arial" w:cs="Arial"/>
        </w:rPr>
        <w:t>and therefore avoids reservation of resources already during the LTM candidate cell configuration.</w:t>
      </w:r>
    </w:p>
    <w:p w14:paraId="59BF3574" w14:textId="14DC7577" w:rsidR="00DD623B" w:rsidRDefault="00505DBE" w:rsidP="00224A4E">
      <w:pPr>
        <w:spacing w:after="120"/>
        <w:rPr>
          <w:rFonts w:ascii="Arial" w:hAnsi="Arial" w:cs="Arial"/>
        </w:rPr>
      </w:pPr>
      <w:r>
        <w:rPr>
          <w:rFonts w:ascii="Arial" w:hAnsi="Arial" w:cs="Arial"/>
        </w:rPr>
        <w:t>The main advantage with a</w:t>
      </w:r>
      <w:r w:rsidR="001D6EAD">
        <w:rPr>
          <w:rFonts w:ascii="Arial" w:hAnsi="Arial" w:cs="Arial"/>
        </w:rPr>
        <w:t xml:space="preserve">pproach 1 </w:t>
      </w:r>
      <w:r>
        <w:rPr>
          <w:rFonts w:ascii="Arial" w:hAnsi="Arial" w:cs="Arial"/>
        </w:rPr>
        <w:t>is the shorter latency before execution is triggered</w:t>
      </w:r>
      <w:r w:rsidR="005557DE">
        <w:rPr>
          <w:rFonts w:ascii="Arial" w:hAnsi="Arial" w:cs="Arial"/>
        </w:rPr>
        <w:t>, compared with approach 2</w:t>
      </w:r>
      <w:r>
        <w:rPr>
          <w:rFonts w:ascii="Arial" w:hAnsi="Arial" w:cs="Arial"/>
        </w:rPr>
        <w:t>. RAN2 bel</w:t>
      </w:r>
      <w:r w:rsidR="00FC5B16">
        <w:rPr>
          <w:rFonts w:ascii="Arial" w:hAnsi="Arial" w:cs="Arial"/>
        </w:rPr>
        <w:t xml:space="preserve">ieves </w:t>
      </w:r>
      <w:r w:rsidR="00DD623B">
        <w:rPr>
          <w:rFonts w:ascii="Arial" w:hAnsi="Arial" w:cs="Arial"/>
        </w:rPr>
        <w:t xml:space="preserve">however </w:t>
      </w:r>
      <w:r w:rsidR="00FC5B16">
        <w:rPr>
          <w:rFonts w:ascii="Arial" w:hAnsi="Arial" w:cs="Arial"/>
        </w:rPr>
        <w:t xml:space="preserve">that the </w:t>
      </w:r>
      <w:r w:rsidR="005557DE">
        <w:rPr>
          <w:rFonts w:ascii="Arial" w:hAnsi="Arial" w:cs="Arial"/>
        </w:rPr>
        <w:t xml:space="preserve">knowledge about </w:t>
      </w:r>
      <w:r w:rsidR="00FC5B16">
        <w:rPr>
          <w:rFonts w:ascii="Arial" w:hAnsi="Arial" w:cs="Arial"/>
        </w:rPr>
        <w:t xml:space="preserve">latency for F1AP </w:t>
      </w:r>
      <w:r w:rsidR="00FB2404">
        <w:rPr>
          <w:rFonts w:ascii="Arial" w:hAnsi="Arial" w:cs="Arial"/>
        </w:rPr>
        <w:t xml:space="preserve">procedures </w:t>
      </w:r>
      <w:r w:rsidR="00FC5B16">
        <w:rPr>
          <w:rFonts w:ascii="Arial" w:hAnsi="Arial" w:cs="Arial"/>
        </w:rPr>
        <w:t xml:space="preserve">is </w:t>
      </w:r>
      <w:r w:rsidR="005557DE">
        <w:rPr>
          <w:rFonts w:ascii="Arial" w:hAnsi="Arial" w:cs="Arial"/>
        </w:rPr>
        <w:t xml:space="preserve">within </w:t>
      </w:r>
      <w:r w:rsidR="00FB2404">
        <w:rPr>
          <w:rFonts w:ascii="Arial" w:hAnsi="Arial" w:cs="Arial"/>
        </w:rPr>
        <w:t>RAN3</w:t>
      </w:r>
      <w:r w:rsidR="00FC5B16">
        <w:rPr>
          <w:rFonts w:ascii="Arial" w:hAnsi="Arial" w:cs="Arial"/>
        </w:rPr>
        <w:t xml:space="preserve"> </w:t>
      </w:r>
      <w:r w:rsidR="007A64B8">
        <w:rPr>
          <w:rFonts w:ascii="Arial" w:hAnsi="Arial" w:cs="Arial"/>
        </w:rPr>
        <w:t>expert</w:t>
      </w:r>
      <w:r w:rsidR="005557DE">
        <w:rPr>
          <w:rFonts w:ascii="Arial" w:hAnsi="Arial" w:cs="Arial"/>
        </w:rPr>
        <w:t xml:space="preserve"> region</w:t>
      </w:r>
      <w:r w:rsidR="00FB2404">
        <w:rPr>
          <w:rFonts w:ascii="Arial" w:hAnsi="Arial" w:cs="Arial"/>
        </w:rPr>
        <w:t>.</w:t>
      </w:r>
    </w:p>
    <w:p w14:paraId="014C0773" w14:textId="245D02F4" w:rsidR="00063859" w:rsidRDefault="00876043" w:rsidP="00063859">
      <w:pPr>
        <w:pStyle w:val="BodyText"/>
        <w:rPr>
          <w:rFonts w:cs="Arial"/>
        </w:rPr>
      </w:pPr>
      <w:r>
        <w:rPr>
          <w:rFonts w:cs="Arial"/>
        </w:rPr>
        <w:lastRenderedPageBreak/>
        <w:t>RAN2’s</w:t>
      </w:r>
      <w:r w:rsidR="00E52D29">
        <w:rPr>
          <w:rFonts w:cs="Arial"/>
        </w:rPr>
        <w:t xml:space="preserve"> preference is that both approach 1 and </w:t>
      </w:r>
      <w:r w:rsidR="00401576">
        <w:rPr>
          <w:rFonts w:cs="Arial"/>
        </w:rPr>
        <w:t>approach</w:t>
      </w:r>
      <w:r w:rsidR="001A7861">
        <w:rPr>
          <w:rFonts w:cs="Arial"/>
        </w:rPr>
        <w:t xml:space="preserve"> 2</w:t>
      </w:r>
      <w:r w:rsidR="00401576">
        <w:rPr>
          <w:rFonts w:cs="Arial"/>
        </w:rPr>
        <w:t xml:space="preserve"> </w:t>
      </w:r>
      <w:r>
        <w:rPr>
          <w:rFonts w:cs="Arial"/>
        </w:rPr>
        <w:t>should be</w:t>
      </w:r>
      <w:r w:rsidR="0058003C">
        <w:rPr>
          <w:rFonts w:cs="Arial"/>
        </w:rPr>
        <w:t xml:space="preserve"> be supported by the specifications</w:t>
      </w:r>
      <w:r>
        <w:rPr>
          <w:rFonts w:cs="Arial"/>
        </w:rPr>
        <w:t xml:space="preserve"> and </w:t>
      </w:r>
      <w:r w:rsidR="00100CDB">
        <w:rPr>
          <w:rFonts w:cs="Arial"/>
        </w:rPr>
        <w:t xml:space="preserve">then </w:t>
      </w:r>
      <w:r>
        <w:rPr>
          <w:rFonts w:cs="Arial"/>
        </w:rPr>
        <w:t>it would be up to network implementation</w:t>
      </w:r>
      <w:r w:rsidR="0010111E">
        <w:rPr>
          <w:rFonts w:cs="Arial"/>
        </w:rPr>
        <w:t xml:space="preserve"> which approach to use</w:t>
      </w:r>
      <w:r w:rsidR="00E52D29">
        <w:rPr>
          <w:rFonts w:cs="Arial"/>
        </w:rPr>
        <w:t>.</w:t>
      </w:r>
    </w:p>
    <w:p w14:paraId="5CC68916" w14:textId="77777777" w:rsidR="00063859" w:rsidRPr="00E94A89" w:rsidRDefault="00063859" w:rsidP="00063859">
      <w:pPr>
        <w:spacing w:after="120"/>
        <w:rPr>
          <w:rFonts w:ascii="Arial" w:hAnsi="Arial" w:cs="Arial"/>
          <w:lang w:eastAsia="zh-CN"/>
        </w:rPr>
      </w:pPr>
    </w:p>
    <w:p w14:paraId="478607AE" w14:textId="77777777" w:rsidR="00063859" w:rsidRPr="00E94A89" w:rsidRDefault="00063859" w:rsidP="00063859">
      <w:pPr>
        <w:spacing w:after="120"/>
        <w:rPr>
          <w:rFonts w:ascii="Arial" w:hAnsi="Arial" w:cs="Arial"/>
          <w:b/>
        </w:rPr>
      </w:pPr>
      <w:r w:rsidRPr="00E94A89">
        <w:rPr>
          <w:rFonts w:ascii="Arial" w:hAnsi="Arial" w:cs="Arial"/>
          <w:b/>
        </w:rPr>
        <w:t>2. Actions:</w:t>
      </w:r>
    </w:p>
    <w:p w14:paraId="7BE178B9" w14:textId="3FC6F177" w:rsidR="00063859" w:rsidRPr="00E94A89" w:rsidRDefault="00063859" w:rsidP="00063859">
      <w:pPr>
        <w:spacing w:after="120"/>
        <w:ind w:left="1985" w:hanging="1985"/>
        <w:rPr>
          <w:rFonts w:ascii="Arial" w:hAnsi="Arial" w:cs="Arial"/>
          <w:b/>
        </w:rPr>
      </w:pPr>
      <w:r w:rsidRPr="00E94A89">
        <w:rPr>
          <w:rFonts w:ascii="Arial" w:hAnsi="Arial" w:cs="Arial"/>
          <w:b/>
        </w:rPr>
        <w:t xml:space="preserve">To </w:t>
      </w:r>
      <w:r>
        <w:rPr>
          <w:rFonts w:ascii="Arial" w:hAnsi="Arial" w:cs="Arial"/>
          <w:b/>
        </w:rPr>
        <w:t>RAN</w:t>
      </w:r>
      <w:r w:rsidR="00ED385B">
        <w:rPr>
          <w:rFonts w:ascii="Arial" w:hAnsi="Arial" w:cs="Arial"/>
          <w:b/>
        </w:rPr>
        <w:t>3</w:t>
      </w:r>
      <w:r w:rsidRPr="00E94A89">
        <w:rPr>
          <w:rFonts w:ascii="Arial" w:hAnsi="Arial" w:cs="Arial"/>
          <w:b/>
        </w:rPr>
        <w:t xml:space="preserve"> group.</w:t>
      </w:r>
    </w:p>
    <w:p w14:paraId="13E13B3C" w14:textId="0F5828B1" w:rsidR="00063859" w:rsidRPr="00E94A89" w:rsidRDefault="00063859" w:rsidP="00063859">
      <w:pPr>
        <w:spacing w:after="120"/>
        <w:ind w:left="993" w:hanging="993"/>
        <w:rPr>
          <w:rFonts w:ascii="Arial" w:hAnsi="Arial" w:cs="Arial"/>
        </w:rPr>
      </w:pPr>
      <w:r w:rsidRPr="00E94A89">
        <w:rPr>
          <w:rFonts w:ascii="Arial" w:hAnsi="Arial" w:cs="Arial"/>
          <w:b/>
        </w:rPr>
        <w:t xml:space="preserve">ACTION: </w:t>
      </w:r>
      <w:r w:rsidRPr="00E94A89">
        <w:rPr>
          <w:rFonts w:ascii="Arial" w:hAnsi="Arial" w:cs="Arial"/>
          <w:b/>
        </w:rPr>
        <w:tab/>
      </w:r>
      <w:r w:rsidRPr="00405B38">
        <w:rPr>
          <w:rFonts w:ascii="Arial" w:hAnsi="Arial" w:cs="Arial"/>
        </w:rPr>
        <w:t>RAN</w:t>
      </w:r>
      <w:r w:rsidR="00ED385B">
        <w:rPr>
          <w:rFonts w:ascii="Arial" w:hAnsi="Arial" w:cs="Arial"/>
        </w:rPr>
        <w:t>2</w:t>
      </w:r>
      <w:r w:rsidRPr="00405B38">
        <w:rPr>
          <w:rFonts w:ascii="Arial" w:hAnsi="Arial" w:cs="Arial"/>
        </w:rPr>
        <w:t xml:space="preserve"> kindly asks </w:t>
      </w:r>
      <w:r>
        <w:rPr>
          <w:rFonts w:ascii="Arial" w:hAnsi="Arial" w:cs="Arial"/>
        </w:rPr>
        <w:t>RAN</w:t>
      </w:r>
      <w:r w:rsidR="00ED385B">
        <w:rPr>
          <w:rFonts w:ascii="Arial" w:hAnsi="Arial" w:cs="Arial"/>
        </w:rPr>
        <w:t>3</w:t>
      </w:r>
      <w:r>
        <w:rPr>
          <w:rFonts w:ascii="Arial" w:hAnsi="Arial" w:cs="Arial"/>
        </w:rPr>
        <w:t xml:space="preserve"> </w:t>
      </w:r>
      <w:r w:rsidR="006A3004">
        <w:rPr>
          <w:rFonts w:ascii="Arial" w:hAnsi="Arial" w:cs="Arial"/>
        </w:rPr>
        <w:t xml:space="preserve">to </w:t>
      </w:r>
      <w:r w:rsidR="00340A6B">
        <w:rPr>
          <w:rFonts w:ascii="Arial" w:eastAsia="Malgun Gothic" w:hAnsi="Arial"/>
          <w:iCs/>
          <w:noProof/>
          <w:lang w:val="en-US"/>
        </w:rPr>
        <w:t>take the above information into account</w:t>
      </w:r>
      <w:r w:rsidRPr="00405B38">
        <w:rPr>
          <w:rFonts w:ascii="Arial" w:hAnsi="Arial" w:cs="Arial"/>
        </w:rPr>
        <w:t>.</w:t>
      </w:r>
    </w:p>
    <w:p w14:paraId="42AA212C" w14:textId="5A7210D3" w:rsidR="00063859" w:rsidRPr="000F0B98" w:rsidRDefault="00063859" w:rsidP="00063859">
      <w:pPr>
        <w:spacing w:after="320"/>
        <w:jc w:val="both"/>
        <w:rPr>
          <w:rFonts w:ascii="Arial" w:hAnsi="Arial" w:cs="Arial"/>
          <w:b/>
        </w:rPr>
      </w:pPr>
      <w:r w:rsidRPr="00E94A89">
        <w:rPr>
          <w:rFonts w:ascii="Arial" w:hAnsi="Arial" w:cs="Arial"/>
          <w:b/>
        </w:rPr>
        <w:br/>
      </w:r>
      <w:r w:rsidRPr="000F0B98">
        <w:rPr>
          <w:rFonts w:ascii="Arial" w:hAnsi="Arial" w:cs="Arial"/>
          <w:b/>
        </w:rPr>
        <w:t>3. Date of Next TSG-RAN</w:t>
      </w:r>
      <w:r w:rsidR="00ED385B">
        <w:rPr>
          <w:rFonts w:ascii="Arial" w:hAnsi="Arial" w:cs="Arial"/>
          <w:b/>
          <w:lang w:eastAsia="zh-CN"/>
        </w:rPr>
        <w:t>2</w:t>
      </w:r>
      <w:r w:rsidRPr="000F0B98">
        <w:rPr>
          <w:rFonts w:ascii="Arial" w:hAnsi="Arial" w:cs="Arial"/>
          <w:b/>
        </w:rPr>
        <w:t xml:space="preserve"> Meetings:</w:t>
      </w:r>
    </w:p>
    <w:p w14:paraId="64C28885" w14:textId="56F85646" w:rsidR="00063859" w:rsidRPr="00383F92" w:rsidRDefault="00063859" w:rsidP="00063859">
      <w:pPr>
        <w:tabs>
          <w:tab w:val="left" w:pos="4536"/>
        </w:tabs>
        <w:spacing w:after="120"/>
        <w:rPr>
          <w:rFonts w:ascii="Arial" w:hAnsi="Arial" w:cs="Arial"/>
          <w:bCs/>
          <w:lang w:val="en-US"/>
        </w:rPr>
      </w:pPr>
      <w:r w:rsidRPr="00250EFF">
        <w:rPr>
          <w:rFonts w:ascii="Arial" w:hAnsi="Arial" w:cs="Arial"/>
          <w:bCs/>
          <w:lang w:val="en-US"/>
        </w:rPr>
        <w:t>3GPP TSG RAN WG</w:t>
      </w:r>
      <w:r w:rsidR="00ED385B">
        <w:rPr>
          <w:rFonts w:ascii="Arial" w:hAnsi="Arial" w:cs="Arial"/>
          <w:bCs/>
          <w:lang w:val="en-US"/>
        </w:rPr>
        <w:t>2</w:t>
      </w:r>
      <w:r w:rsidRPr="00250EFF">
        <w:rPr>
          <w:rFonts w:ascii="Arial" w:hAnsi="Arial" w:cs="Arial"/>
          <w:bCs/>
          <w:lang w:val="en-US"/>
        </w:rPr>
        <w:t>#12</w:t>
      </w:r>
      <w:r w:rsidR="00ED385B">
        <w:rPr>
          <w:rFonts w:ascii="Arial" w:hAnsi="Arial" w:cs="Arial"/>
          <w:bCs/>
          <w:lang w:val="en-US"/>
        </w:rPr>
        <w:t>2</w:t>
      </w:r>
      <w:r w:rsidRPr="00250EFF">
        <w:rPr>
          <w:rFonts w:ascii="Arial" w:hAnsi="Arial" w:cs="Arial"/>
          <w:bCs/>
          <w:lang w:val="en-US"/>
        </w:rPr>
        <w:tab/>
        <w:t xml:space="preserve">22 - 26 </w:t>
      </w:r>
      <w:r w:rsidR="0004383E" w:rsidRPr="00250EFF">
        <w:rPr>
          <w:rFonts w:ascii="Arial" w:hAnsi="Arial" w:cs="Arial"/>
          <w:bCs/>
          <w:lang w:val="en-US"/>
        </w:rPr>
        <w:t>Ma</w:t>
      </w:r>
      <w:r w:rsidR="0004383E">
        <w:rPr>
          <w:rFonts w:ascii="Arial" w:hAnsi="Arial" w:cs="Arial"/>
          <w:bCs/>
          <w:lang w:val="en-US"/>
        </w:rPr>
        <w:t>y</w:t>
      </w:r>
      <w:r w:rsidRPr="00250EFF">
        <w:rPr>
          <w:rFonts w:ascii="Arial" w:hAnsi="Arial" w:cs="Arial"/>
          <w:bCs/>
          <w:lang w:val="en-US"/>
        </w:rPr>
        <w:t xml:space="preserve"> 2023</w:t>
      </w:r>
      <w:r w:rsidRPr="00250EFF">
        <w:rPr>
          <w:rFonts w:ascii="Arial" w:hAnsi="Arial" w:cs="Arial"/>
          <w:bCs/>
          <w:lang w:val="en-US"/>
        </w:rPr>
        <w:tab/>
      </w:r>
      <w:r w:rsidRPr="00250EFF">
        <w:rPr>
          <w:rFonts w:ascii="Arial" w:hAnsi="Arial" w:cs="Arial"/>
          <w:bCs/>
          <w:lang w:val="en-US"/>
        </w:rPr>
        <w:tab/>
      </w:r>
      <w:r w:rsidRPr="00250EFF">
        <w:rPr>
          <w:rFonts w:ascii="Arial" w:hAnsi="Arial" w:cs="Arial"/>
          <w:bCs/>
          <w:lang w:val="en-US"/>
        </w:rPr>
        <w:tab/>
        <w:t>Incheon, Korea</w:t>
      </w:r>
    </w:p>
    <w:p w14:paraId="774074D3" w14:textId="331DB370" w:rsidR="00ED385B" w:rsidRPr="00383F92" w:rsidRDefault="00ED385B" w:rsidP="00ED385B">
      <w:pPr>
        <w:tabs>
          <w:tab w:val="left" w:pos="4536"/>
        </w:tabs>
        <w:spacing w:after="120"/>
        <w:rPr>
          <w:rFonts w:ascii="Arial" w:hAnsi="Arial" w:cs="Arial"/>
          <w:bCs/>
          <w:lang w:val="en-US"/>
        </w:rPr>
      </w:pPr>
      <w:r w:rsidRPr="00250EFF">
        <w:rPr>
          <w:rFonts w:ascii="Arial" w:hAnsi="Arial" w:cs="Arial"/>
          <w:bCs/>
          <w:lang w:val="en-US"/>
        </w:rPr>
        <w:t>3GPP TSG RAN WG</w:t>
      </w:r>
      <w:r w:rsidR="00B23EBD">
        <w:rPr>
          <w:rFonts w:ascii="Arial" w:hAnsi="Arial" w:cs="Arial"/>
          <w:bCs/>
          <w:lang w:val="en-US"/>
        </w:rPr>
        <w:t>2</w:t>
      </w:r>
      <w:r w:rsidRPr="00250EFF">
        <w:rPr>
          <w:rFonts w:ascii="Arial" w:hAnsi="Arial" w:cs="Arial"/>
          <w:bCs/>
          <w:lang w:val="en-US"/>
        </w:rPr>
        <w:t>#12</w:t>
      </w:r>
      <w:r w:rsidR="00B23EBD">
        <w:rPr>
          <w:rFonts w:ascii="Arial" w:hAnsi="Arial" w:cs="Arial"/>
          <w:bCs/>
          <w:lang w:val="en-US"/>
        </w:rPr>
        <w:t>3</w:t>
      </w:r>
      <w:r w:rsidRPr="00250EFF">
        <w:rPr>
          <w:rFonts w:ascii="Arial" w:hAnsi="Arial" w:cs="Arial"/>
          <w:bCs/>
          <w:lang w:val="en-US"/>
        </w:rPr>
        <w:tab/>
        <w:t>2</w:t>
      </w:r>
      <w:r w:rsidR="00B23EBD">
        <w:rPr>
          <w:rFonts w:ascii="Arial" w:hAnsi="Arial" w:cs="Arial"/>
          <w:bCs/>
          <w:lang w:val="en-US"/>
        </w:rPr>
        <w:t>1</w:t>
      </w:r>
      <w:r w:rsidRPr="00250EFF">
        <w:rPr>
          <w:rFonts w:ascii="Arial" w:hAnsi="Arial" w:cs="Arial"/>
          <w:bCs/>
          <w:lang w:val="en-US"/>
        </w:rPr>
        <w:t xml:space="preserve"> - 2</w:t>
      </w:r>
      <w:r w:rsidR="00B23EBD">
        <w:rPr>
          <w:rFonts w:ascii="Arial" w:hAnsi="Arial" w:cs="Arial"/>
          <w:bCs/>
          <w:lang w:val="en-US"/>
        </w:rPr>
        <w:t>5</w:t>
      </w:r>
      <w:r w:rsidRPr="00250EFF">
        <w:rPr>
          <w:rFonts w:ascii="Arial" w:hAnsi="Arial" w:cs="Arial"/>
          <w:bCs/>
          <w:lang w:val="en-US"/>
        </w:rPr>
        <w:t xml:space="preserve"> </w:t>
      </w:r>
      <w:r w:rsidR="0004383E">
        <w:rPr>
          <w:rFonts w:ascii="Arial" w:hAnsi="Arial" w:cs="Arial"/>
          <w:bCs/>
          <w:lang w:val="en-US"/>
        </w:rPr>
        <w:t>August</w:t>
      </w:r>
      <w:r w:rsidRPr="00250EFF">
        <w:rPr>
          <w:rFonts w:ascii="Arial" w:hAnsi="Arial" w:cs="Arial"/>
          <w:bCs/>
          <w:lang w:val="en-US"/>
        </w:rPr>
        <w:t xml:space="preserve"> 2023</w:t>
      </w:r>
      <w:r w:rsidRPr="00250EFF">
        <w:rPr>
          <w:rFonts w:ascii="Arial" w:hAnsi="Arial" w:cs="Arial"/>
          <w:bCs/>
          <w:lang w:val="en-US"/>
        </w:rPr>
        <w:tab/>
      </w:r>
      <w:r w:rsidRPr="00250EFF">
        <w:rPr>
          <w:rFonts w:ascii="Arial" w:hAnsi="Arial" w:cs="Arial"/>
          <w:bCs/>
          <w:lang w:val="en-US"/>
        </w:rPr>
        <w:tab/>
      </w:r>
      <w:r w:rsidR="00B23EBD">
        <w:rPr>
          <w:rFonts w:ascii="Arial" w:hAnsi="Arial" w:cs="Arial"/>
          <w:bCs/>
          <w:lang w:val="en-US"/>
        </w:rPr>
        <w:t>To</w:t>
      </w:r>
      <w:r w:rsidR="0004383E">
        <w:rPr>
          <w:rFonts w:ascii="Arial" w:hAnsi="Arial" w:cs="Arial"/>
          <w:bCs/>
          <w:lang w:val="en-US"/>
        </w:rPr>
        <w:t>ulouse, France</w:t>
      </w:r>
    </w:p>
    <w:p w14:paraId="001AB466" w14:textId="77777777" w:rsidR="00333AA6" w:rsidRPr="00CE0424" w:rsidRDefault="00333AA6" w:rsidP="006E062C"/>
    <w:p w14:paraId="7BD5CFC3" w14:textId="77777777" w:rsidR="00F507D1" w:rsidRPr="00CE0424" w:rsidRDefault="00F507D1" w:rsidP="00CE0424">
      <w:pPr>
        <w:pStyle w:val="Heading1"/>
      </w:pPr>
      <w:bookmarkStart w:id="29" w:name="_In-sequence_SDU_delivery"/>
      <w:bookmarkEnd w:id="29"/>
      <w:r w:rsidRPr="00CE0424">
        <w:t>References</w:t>
      </w:r>
    </w:p>
    <w:p w14:paraId="51CB36C2" w14:textId="69C7F62C" w:rsidR="00483608" w:rsidRDefault="00A12224" w:rsidP="00311702">
      <w:pPr>
        <w:pStyle w:val="Reference"/>
      </w:pPr>
      <w:bookmarkStart w:id="30" w:name="_Ref130974317"/>
      <w:bookmarkStart w:id="31" w:name="_Ref174151459"/>
      <w:bookmarkStart w:id="32" w:name="_Ref189809556"/>
      <w:r>
        <w:t>R2-2302458/</w:t>
      </w:r>
      <w:r w:rsidR="00571F9F">
        <w:t>R3-230889</w:t>
      </w:r>
      <w:r w:rsidR="005D5AD2">
        <w:t xml:space="preserve">, </w:t>
      </w:r>
      <w:r w:rsidR="0065714F" w:rsidRPr="0065714F">
        <w:t>LS on Approaches during execution for inter-DU LTM</w:t>
      </w:r>
      <w:r w:rsidR="0065714F">
        <w:t>,</w:t>
      </w:r>
      <w:bookmarkEnd w:id="30"/>
      <w:r w:rsidR="0065714F">
        <w:t xml:space="preserve"> </w:t>
      </w:r>
      <w:r w:rsidR="00621A33">
        <w:t>RAN3</w:t>
      </w:r>
      <w:r w:rsidR="00D3532C">
        <w:t xml:space="preserve">, </w:t>
      </w:r>
      <w:r w:rsidR="0044465F" w:rsidRPr="0044465F">
        <w:t>3GPP TSG RAN WG2#121bis-e</w:t>
      </w:r>
      <w:r w:rsidR="0044465F">
        <w:t xml:space="preserve">, </w:t>
      </w:r>
      <w:r w:rsidR="00DD4457" w:rsidRPr="00DD4457">
        <w:t xml:space="preserve">Online, 17th - 26th </w:t>
      </w:r>
      <w:proofErr w:type="gramStart"/>
      <w:r w:rsidR="00DD4457" w:rsidRPr="00DD4457">
        <w:t>April,</w:t>
      </w:r>
      <w:proofErr w:type="gramEnd"/>
      <w:r w:rsidR="00DD4457" w:rsidRPr="00DD4457">
        <w:t xml:space="preserve"> 2023</w:t>
      </w:r>
    </w:p>
    <w:p w14:paraId="03BC2946" w14:textId="760DCAF7" w:rsidR="00621A33" w:rsidRDefault="00621A33" w:rsidP="00311702">
      <w:pPr>
        <w:pStyle w:val="Reference"/>
      </w:pPr>
      <w:bookmarkStart w:id="33" w:name="_Ref130977230"/>
      <w:r>
        <w:t>R3-231</w:t>
      </w:r>
      <w:r w:rsidR="004550D1">
        <w:t xml:space="preserve">027, </w:t>
      </w:r>
      <w:r w:rsidR="00564F88" w:rsidRPr="00564F88">
        <w:t>(TP for L1L2Mob BLCR for TS 38.401) BLCR update with latest agreements for intra-DU LTM</w:t>
      </w:r>
      <w:r w:rsidR="00564F88">
        <w:t xml:space="preserve">, </w:t>
      </w:r>
      <w:r w:rsidR="008735D0" w:rsidRPr="008735D0">
        <w:t>ZTE, Nokia, Nokia Shanghai Bell, Huawei, Ericsson, CMCC, Qualcomm Incorporated</w:t>
      </w:r>
      <w:r w:rsidR="008735D0">
        <w:t xml:space="preserve">, </w:t>
      </w:r>
      <w:r w:rsidR="00292119" w:rsidRPr="00292119">
        <w:t>3GPP TSG-RAN WG3 #119</w:t>
      </w:r>
      <w:r w:rsidR="00292119">
        <w:t xml:space="preserve">, </w:t>
      </w:r>
      <w:r w:rsidR="006B1F81" w:rsidRPr="006B1F81">
        <w:t>Athens, Greece, 27 Feb - 03 Mar 2023</w:t>
      </w:r>
      <w:bookmarkEnd w:id="33"/>
    </w:p>
    <w:bookmarkEnd w:id="31"/>
    <w:bookmarkEnd w:id="32"/>
    <w:p w14:paraId="5DCC939F" w14:textId="77777777" w:rsidR="003A7EF3" w:rsidRDefault="003A7EF3" w:rsidP="00CE0424">
      <w:pPr>
        <w:pStyle w:val="BodyText"/>
      </w:pPr>
    </w:p>
    <w:sectPr w:rsidR="003A7EF3" w:rsidSect="00C473A5">
      <w:headerReference w:type="even" r:id="rId19"/>
      <w:footerReference w:type="default" r:id="rId20"/>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43956" w14:textId="77777777" w:rsidR="00580E40" w:rsidRDefault="00580E40">
      <w:r>
        <w:separator/>
      </w:r>
    </w:p>
  </w:endnote>
  <w:endnote w:type="continuationSeparator" w:id="0">
    <w:p w14:paraId="3C52AAD1" w14:textId="77777777" w:rsidR="00580E40" w:rsidRDefault="00580E40">
      <w:r>
        <w:continuationSeparator/>
      </w:r>
    </w:p>
  </w:endnote>
  <w:endnote w:type="continuationNotice" w:id="1">
    <w:p w14:paraId="3FF64CEC" w14:textId="77777777" w:rsidR="00580E40" w:rsidRDefault="00580E4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B1583E" w14:textId="77777777" w:rsidR="00580E40" w:rsidRDefault="00580E40">
      <w:r>
        <w:separator/>
      </w:r>
    </w:p>
  </w:footnote>
  <w:footnote w:type="continuationSeparator" w:id="0">
    <w:p w14:paraId="1D1D9AA2" w14:textId="77777777" w:rsidR="00580E40" w:rsidRDefault="00580E40">
      <w:r>
        <w:continuationSeparator/>
      </w:r>
    </w:p>
  </w:footnote>
  <w:footnote w:type="continuationNotice" w:id="1">
    <w:p w14:paraId="1603911B" w14:textId="77777777" w:rsidR="00580E40" w:rsidRDefault="00580E4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5703CDB"/>
    <w:multiLevelType w:val="hybridMultilevel"/>
    <w:tmpl w:val="D11A78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2F185733"/>
    <w:multiLevelType w:val="hybridMultilevel"/>
    <w:tmpl w:val="183AA6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B596484"/>
    <w:multiLevelType w:val="hybridMultilevel"/>
    <w:tmpl w:val="BFB033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2B77F93"/>
    <w:multiLevelType w:val="hybridMultilevel"/>
    <w:tmpl w:val="00E0031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909704E"/>
    <w:multiLevelType w:val="hybridMultilevel"/>
    <w:tmpl w:val="856017C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16cid:durableId="688022276">
    <w:abstractNumId w:val="4"/>
  </w:num>
  <w:num w:numId="2" w16cid:durableId="1788892996">
    <w:abstractNumId w:val="21"/>
  </w:num>
  <w:num w:numId="3" w16cid:durableId="866454445">
    <w:abstractNumId w:val="16"/>
  </w:num>
  <w:num w:numId="4" w16cid:durableId="2021151531">
    <w:abstractNumId w:val="17"/>
  </w:num>
  <w:num w:numId="5" w16cid:durableId="1771851479">
    <w:abstractNumId w:val="13"/>
  </w:num>
  <w:num w:numId="6" w16cid:durableId="1985817818">
    <w:abstractNumId w:val="19"/>
  </w:num>
  <w:num w:numId="7" w16cid:durableId="2055503809">
    <w:abstractNumId w:val="26"/>
  </w:num>
  <w:num w:numId="8" w16cid:durableId="1960256530">
    <w:abstractNumId w:val="14"/>
  </w:num>
  <w:num w:numId="9" w16cid:durableId="1524393734">
    <w:abstractNumId w:val="10"/>
  </w:num>
  <w:num w:numId="10" w16cid:durableId="715203429">
    <w:abstractNumId w:val="2"/>
  </w:num>
  <w:num w:numId="11" w16cid:durableId="982849255">
    <w:abstractNumId w:val="1"/>
  </w:num>
  <w:num w:numId="12" w16cid:durableId="1515145599">
    <w:abstractNumId w:val="0"/>
  </w:num>
  <w:num w:numId="13" w16cid:durableId="1913154071">
    <w:abstractNumId w:val="23"/>
  </w:num>
  <w:num w:numId="14" w16cid:durableId="404886930">
    <w:abstractNumId w:val="24"/>
  </w:num>
  <w:num w:numId="15" w16cid:durableId="1926064075">
    <w:abstractNumId w:val="18"/>
  </w:num>
  <w:num w:numId="16" w16cid:durableId="993145414">
    <w:abstractNumId w:val="29"/>
  </w:num>
  <w:num w:numId="17" w16cid:durableId="1383484466">
    <w:abstractNumId w:val="7"/>
  </w:num>
  <w:num w:numId="18" w16cid:durableId="1116873427">
    <w:abstractNumId w:val="8"/>
  </w:num>
  <w:num w:numId="19" w16cid:durableId="550075695">
    <w:abstractNumId w:val="6"/>
  </w:num>
  <w:num w:numId="20" w16cid:durableId="580599001">
    <w:abstractNumId w:val="32"/>
  </w:num>
  <w:num w:numId="21" w16cid:durableId="761485464">
    <w:abstractNumId w:val="15"/>
  </w:num>
  <w:num w:numId="22" w16cid:durableId="925846756">
    <w:abstractNumId w:val="30"/>
  </w:num>
  <w:num w:numId="23" w16cid:durableId="302926499">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819463641">
    <w:abstractNumId w:val="22"/>
  </w:num>
  <w:num w:numId="25" w16cid:durableId="347567618">
    <w:abstractNumId w:val="28"/>
  </w:num>
  <w:num w:numId="26" w16cid:durableId="1308239177">
    <w:abstractNumId w:val="9"/>
  </w:num>
  <w:num w:numId="27" w16cid:durableId="1541281901">
    <w:abstractNumId w:val="12"/>
  </w:num>
  <w:num w:numId="28" w16cid:durableId="723255946">
    <w:abstractNumId w:val="31"/>
  </w:num>
  <w:num w:numId="29" w16cid:durableId="1024938075">
    <w:abstractNumId w:val="5"/>
  </w:num>
  <w:num w:numId="30" w16cid:durableId="1598515627">
    <w:abstractNumId w:val="27"/>
  </w:num>
  <w:num w:numId="31" w16cid:durableId="989751114">
    <w:abstractNumId w:val="25"/>
  </w:num>
  <w:num w:numId="32" w16cid:durableId="49966331">
    <w:abstractNumId w:val="11"/>
  </w:num>
  <w:num w:numId="33" w16cid:durableId="1446655658">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it-IT" w:vendorID="64" w:dllVersion="0" w:nlCheck="1" w:checkStyle="0"/>
  <w:proofState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CDC"/>
    <w:rsid w:val="00011B28"/>
    <w:rsid w:val="00011EDA"/>
    <w:rsid w:val="00015D15"/>
    <w:rsid w:val="00021E13"/>
    <w:rsid w:val="0002564D"/>
    <w:rsid w:val="00025ECA"/>
    <w:rsid w:val="0003091B"/>
    <w:rsid w:val="00030CCE"/>
    <w:rsid w:val="000325B8"/>
    <w:rsid w:val="00034C15"/>
    <w:rsid w:val="00036BA1"/>
    <w:rsid w:val="000422E2"/>
    <w:rsid w:val="00042F22"/>
    <w:rsid w:val="0004383E"/>
    <w:rsid w:val="000444EF"/>
    <w:rsid w:val="00052A07"/>
    <w:rsid w:val="000534E3"/>
    <w:rsid w:val="00053C65"/>
    <w:rsid w:val="0005606A"/>
    <w:rsid w:val="00057117"/>
    <w:rsid w:val="000616E7"/>
    <w:rsid w:val="00063859"/>
    <w:rsid w:val="0006487E"/>
    <w:rsid w:val="00065E1A"/>
    <w:rsid w:val="00065FA8"/>
    <w:rsid w:val="000669E2"/>
    <w:rsid w:val="0007705D"/>
    <w:rsid w:val="00077E5F"/>
    <w:rsid w:val="0008036A"/>
    <w:rsid w:val="00081AE6"/>
    <w:rsid w:val="000855EB"/>
    <w:rsid w:val="00085B52"/>
    <w:rsid w:val="000866F2"/>
    <w:rsid w:val="0009009F"/>
    <w:rsid w:val="00091557"/>
    <w:rsid w:val="000915B4"/>
    <w:rsid w:val="000924C1"/>
    <w:rsid w:val="000924F0"/>
    <w:rsid w:val="00093474"/>
    <w:rsid w:val="0009510F"/>
    <w:rsid w:val="00096990"/>
    <w:rsid w:val="000A1B7B"/>
    <w:rsid w:val="000A56F2"/>
    <w:rsid w:val="000A7371"/>
    <w:rsid w:val="000B2719"/>
    <w:rsid w:val="000B3A8F"/>
    <w:rsid w:val="000B4AB9"/>
    <w:rsid w:val="000B51B8"/>
    <w:rsid w:val="000B58C3"/>
    <w:rsid w:val="000B61E9"/>
    <w:rsid w:val="000C165A"/>
    <w:rsid w:val="000C2E19"/>
    <w:rsid w:val="000C4FD0"/>
    <w:rsid w:val="000C6201"/>
    <w:rsid w:val="000C78E5"/>
    <w:rsid w:val="000D0D07"/>
    <w:rsid w:val="000D2EA1"/>
    <w:rsid w:val="000D4797"/>
    <w:rsid w:val="000E0527"/>
    <w:rsid w:val="000E1E92"/>
    <w:rsid w:val="000E2973"/>
    <w:rsid w:val="000F06D6"/>
    <w:rsid w:val="000F0EB1"/>
    <w:rsid w:val="000F1106"/>
    <w:rsid w:val="000F3BE9"/>
    <w:rsid w:val="000F3F6C"/>
    <w:rsid w:val="000F6DF3"/>
    <w:rsid w:val="000F7944"/>
    <w:rsid w:val="001005FF"/>
    <w:rsid w:val="00100CDB"/>
    <w:rsid w:val="0010111E"/>
    <w:rsid w:val="00102D70"/>
    <w:rsid w:val="001062FB"/>
    <w:rsid w:val="001063E6"/>
    <w:rsid w:val="00110A59"/>
    <w:rsid w:val="00110C86"/>
    <w:rsid w:val="00111C18"/>
    <w:rsid w:val="00113CF4"/>
    <w:rsid w:val="001153EA"/>
    <w:rsid w:val="0011551B"/>
    <w:rsid w:val="00115643"/>
    <w:rsid w:val="00116765"/>
    <w:rsid w:val="001174B5"/>
    <w:rsid w:val="001219F5"/>
    <w:rsid w:val="00121A20"/>
    <w:rsid w:val="0012377F"/>
    <w:rsid w:val="00124314"/>
    <w:rsid w:val="00124E34"/>
    <w:rsid w:val="00126B4A"/>
    <w:rsid w:val="00132FD0"/>
    <w:rsid w:val="0013304E"/>
    <w:rsid w:val="00133649"/>
    <w:rsid w:val="0013388B"/>
    <w:rsid w:val="001344C0"/>
    <w:rsid w:val="001346FA"/>
    <w:rsid w:val="00135252"/>
    <w:rsid w:val="001372CF"/>
    <w:rsid w:val="00137AB5"/>
    <w:rsid w:val="00137F0B"/>
    <w:rsid w:val="00143B7D"/>
    <w:rsid w:val="00150649"/>
    <w:rsid w:val="0015121D"/>
    <w:rsid w:val="00151E23"/>
    <w:rsid w:val="001526E0"/>
    <w:rsid w:val="001551B5"/>
    <w:rsid w:val="00162DDB"/>
    <w:rsid w:val="001659C1"/>
    <w:rsid w:val="00167D55"/>
    <w:rsid w:val="00173A8E"/>
    <w:rsid w:val="00173E46"/>
    <w:rsid w:val="0017502C"/>
    <w:rsid w:val="0018035C"/>
    <w:rsid w:val="00180CDB"/>
    <w:rsid w:val="0018143F"/>
    <w:rsid w:val="00181FF8"/>
    <w:rsid w:val="00185633"/>
    <w:rsid w:val="00190AC1"/>
    <w:rsid w:val="0019341A"/>
    <w:rsid w:val="0019614C"/>
    <w:rsid w:val="00197DF9"/>
    <w:rsid w:val="001A0403"/>
    <w:rsid w:val="001A1987"/>
    <w:rsid w:val="001A2564"/>
    <w:rsid w:val="001A6173"/>
    <w:rsid w:val="001A67B9"/>
    <w:rsid w:val="001A6CBA"/>
    <w:rsid w:val="001A7861"/>
    <w:rsid w:val="001B076E"/>
    <w:rsid w:val="001B0D97"/>
    <w:rsid w:val="001B0E89"/>
    <w:rsid w:val="001B56CB"/>
    <w:rsid w:val="001B5A5D"/>
    <w:rsid w:val="001C1AB6"/>
    <w:rsid w:val="001C1CE5"/>
    <w:rsid w:val="001C3D2A"/>
    <w:rsid w:val="001C5CB8"/>
    <w:rsid w:val="001D2761"/>
    <w:rsid w:val="001D51BA"/>
    <w:rsid w:val="001D53E7"/>
    <w:rsid w:val="001D6342"/>
    <w:rsid w:val="001D6D53"/>
    <w:rsid w:val="001D6EAD"/>
    <w:rsid w:val="001D752E"/>
    <w:rsid w:val="001E3CCC"/>
    <w:rsid w:val="001E58E2"/>
    <w:rsid w:val="001E7AED"/>
    <w:rsid w:val="001F3916"/>
    <w:rsid w:val="001F4DEF"/>
    <w:rsid w:val="001F54C5"/>
    <w:rsid w:val="001F662C"/>
    <w:rsid w:val="001F7074"/>
    <w:rsid w:val="00200490"/>
    <w:rsid w:val="00201F3A"/>
    <w:rsid w:val="00203F96"/>
    <w:rsid w:val="002069B2"/>
    <w:rsid w:val="00207FA3"/>
    <w:rsid w:val="00214DA8"/>
    <w:rsid w:val="00215423"/>
    <w:rsid w:val="002158FA"/>
    <w:rsid w:val="00220600"/>
    <w:rsid w:val="00220A8E"/>
    <w:rsid w:val="002224DB"/>
    <w:rsid w:val="00223FCB"/>
    <w:rsid w:val="00224A4E"/>
    <w:rsid w:val="002252C3"/>
    <w:rsid w:val="00225C54"/>
    <w:rsid w:val="00226806"/>
    <w:rsid w:val="00230765"/>
    <w:rsid w:val="00230D18"/>
    <w:rsid w:val="00231494"/>
    <w:rsid w:val="002319E4"/>
    <w:rsid w:val="00235632"/>
    <w:rsid w:val="00235872"/>
    <w:rsid w:val="00241559"/>
    <w:rsid w:val="002435B3"/>
    <w:rsid w:val="002458EB"/>
    <w:rsid w:val="00246013"/>
    <w:rsid w:val="002500C8"/>
    <w:rsid w:val="00253486"/>
    <w:rsid w:val="00257543"/>
    <w:rsid w:val="00257AF3"/>
    <w:rsid w:val="002617E7"/>
    <w:rsid w:val="0026346F"/>
    <w:rsid w:val="00263C6E"/>
    <w:rsid w:val="00264228"/>
    <w:rsid w:val="00264269"/>
    <w:rsid w:val="00264334"/>
    <w:rsid w:val="0026473E"/>
    <w:rsid w:val="00266214"/>
    <w:rsid w:val="00267C83"/>
    <w:rsid w:val="0027144F"/>
    <w:rsid w:val="00271813"/>
    <w:rsid w:val="00271F3A"/>
    <w:rsid w:val="00273278"/>
    <w:rsid w:val="002737F4"/>
    <w:rsid w:val="00273B15"/>
    <w:rsid w:val="002762FE"/>
    <w:rsid w:val="002764E6"/>
    <w:rsid w:val="002772E0"/>
    <w:rsid w:val="002778BE"/>
    <w:rsid w:val="002805F5"/>
    <w:rsid w:val="00280751"/>
    <w:rsid w:val="0028280A"/>
    <w:rsid w:val="00282CB7"/>
    <w:rsid w:val="00286ACD"/>
    <w:rsid w:val="00287838"/>
    <w:rsid w:val="00290237"/>
    <w:rsid w:val="002907B5"/>
    <w:rsid w:val="00292119"/>
    <w:rsid w:val="00292EB7"/>
    <w:rsid w:val="0029511F"/>
    <w:rsid w:val="00296227"/>
    <w:rsid w:val="00296F44"/>
    <w:rsid w:val="0029777D"/>
    <w:rsid w:val="002A055E"/>
    <w:rsid w:val="002A1D4E"/>
    <w:rsid w:val="002A2869"/>
    <w:rsid w:val="002B15EA"/>
    <w:rsid w:val="002B24D6"/>
    <w:rsid w:val="002B4536"/>
    <w:rsid w:val="002C029F"/>
    <w:rsid w:val="002C2D92"/>
    <w:rsid w:val="002C41E6"/>
    <w:rsid w:val="002D071A"/>
    <w:rsid w:val="002D34B2"/>
    <w:rsid w:val="002D48B0"/>
    <w:rsid w:val="002D564B"/>
    <w:rsid w:val="002D5B37"/>
    <w:rsid w:val="002D663D"/>
    <w:rsid w:val="002D6859"/>
    <w:rsid w:val="002D7637"/>
    <w:rsid w:val="002E17F2"/>
    <w:rsid w:val="002E7CAE"/>
    <w:rsid w:val="002F2771"/>
    <w:rsid w:val="002F37A9"/>
    <w:rsid w:val="00301CE6"/>
    <w:rsid w:val="0030256B"/>
    <w:rsid w:val="00302622"/>
    <w:rsid w:val="0030501F"/>
    <w:rsid w:val="00307371"/>
    <w:rsid w:val="00307BA1"/>
    <w:rsid w:val="003109FF"/>
    <w:rsid w:val="00311702"/>
    <w:rsid w:val="00311E82"/>
    <w:rsid w:val="00313FD6"/>
    <w:rsid w:val="003143BD"/>
    <w:rsid w:val="00315363"/>
    <w:rsid w:val="00316314"/>
    <w:rsid w:val="0031758C"/>
    <w:rsid w:val="003203ED"/>
    <w:rsid w:val="00322C9F"/>
    <w:rsid w:val="00324D23"/>
    <w:rsid w:val="003267B7"/>
    <w:rsid w:val="00331751"/>
    <w:rsid w:val="00332064"/>
    <w:rsid w:val="00332A2B"/>
    <w:rsid w:val="00333AA6"/>
    <w:rsid w:val="00334579"/>
    <w:rsid w:val="00335858"/>
    <w:rsid w:val="00336BDA"/>
    <w:rsid w:val="00340A6B"/>
    <w:rsid w:val="003416AB"/>
    <w:rsid w:val="00342BD7"/>
    <w:rsid w:val="00346DB5"/>
    <w:rsid w:val="003477B1"/>
    <w:rsid w:val="003543E8"/>
    <w:rsid w:val="0035491D"/>
    <w:rsid w:val="00357380"/>
    <w:rsid w:val="003602D9"/>
    <w:rsid w:val="003604CE"/>
    <w:rsid w:val="00366534"/>
    <w:rsid w:val="00370E47"/>
    <w:rsid w:val="00370F68"/>
    <w:rsid w:val="003742AC"/>
    <w:rsid w:val="00377CE1"/>
    <w:rsid w:val="00382E80"/>
    <w:rsid w:val="00385BF0"/>
    <w:rsid w:val="0038669A"/>
    <w:rsid w:val="00387263"/>
    <w:rsid w:val="00392DF3"/>
    <w:rsid w:val="003939FF"/>
    <w:rsid w:val="003A0FE8"/>
    <w:rsid w:val="003A2223"/>
    <w:rsid w:val="003A2A0F"/>
    <w:rsid w:val="003A301B"/>
    <w:rsid w:val="003A45A1"/>
    <w:rsid w:val="003A5B0A"/>
    <w:rsid w:val="003A6BAC"/>
    <w:rsid w:val="003A70A4"/>
    <w:rsid w:val="003A7440"/>
    <w:rsid w:val="003A7EF3"/>
    <w:rsid w:val="003A7FC7"/>
    <w:rsid w:val="003B159C"/>
    <w:rsid w:val="003B2FA5"/>
    <w:rsid w:val="003B369F"/>
    <w:rsid w:val="003B36A3"/>
    <w:rsid w:val="003B4492"/>
    <w:rsid w:val="003B5A04"/>
    <w:rsid w:val="003B64BB"/>
    <w:rsid w:val="003B7FE5"/>
    <w:rsid w:val="003C11C8"/>
    <w:rsid w:val="003C2702"/>
    <w:rsid w:val="003C7383"/>
    <w:rsid w:val="003C7806"/>
    <w:rsid w:val="003D109F"/>
    <w:rsid w:val="003D2478"/>
    <w:rsid w:val="003D3C45"/>
    <w:rsid w:val="003D5B1F"/>
    <w:rsid w:val="003D618B"/>
    <w:rsid w:val="003E15FA"/>
    <w:rsid w:val="003E4775"/>
    <w:rsid w:val="003E55E4"/>
    <w:rsid w:val="003E5880"/>
    <w:rsid w:val="003E74E3"/>
    <w:rsid w:val="003F05C7"/>
    <w:rsid w:val="003F2ADC"/>
    <w:rsid w:val="003F2CD4"/>
    <w:rsid w:val="003F4983"/>
    <w:rsid w:val="003F4EF4"/>
    <w:rsid w:val="003F5F2D"/>
    <w:rsid w:val="003F6BBE"/>
    <w:rsid w:val="004000E8"/>
    <w:rsid w:val="00400DBC"/>
    <w:rsid w:val="00401576"/>
    <w:rsid w:val="004027AB"/>
    <w:rsid w:val="00402E2B"/>
    <w:rsid w:val="00403D5D"/>
    <w:rsid w:val="0040512B"/>
    <w:rsid w:val="004056CD"/>
    <w:rsid w:val="00405A8F"/>
    <w:rsid w:val="00405CA5"/>
    <w:rsid w:val="00407CD3"/>
    <w:rsid w:val="00410134"/>
    <w:rsid w:val="00410B72"/>
    <w:rsid w:val="00410F18"/>
    <w:rsid w:val="0041263E"/>
    <w:rsid w:val="00413AAC"/>
    <w:rsid w:val="00413E92"/>
    <w:rsid w:val="004144CA"/>
    <w:rsid w:val="00415E83"/>
    <w:rsid w:val="00421105"/>
    <w:rsid w:val="00422AA4"/>
    <w:rsid w:val="004242F4"/>
    <w:rsid w:val="004254A8"/>
    <w:rsid w:val="00427248"/>
    <w:rsid w:val="00434E6F"/>
    <w:rsid w:val="00437447"/>
    <w:rsid w:val="00441453"/>
    <w:rsid w:val="00441A92"/>
    <w:rsid w:val="004431DC"/>
    <w:rsid w:val="0044345D"/>
    <w:rsid w:val="0044465F"/>
    <w:rsid w:val="00444F56"/>
    <w:rsid w:val="00446488"/>
    <w:rsid w:val="004517AA"/>
    <w:rsid w:val="00452CAC"/>
    <w:rsid w:val="00453FB8"/>
    <w:rsid w:val="004550D1"/>
    <w:rsid w:val="00457565"/>
    <w:rsid w:val="00457B71"/>
    <w:rsid w:val="004656A1"/>
    <w:rsid w:val="004669E2"/>
    <w:rsid w:val="00470C31"/>
    <w:rsid w:val="00471DE0"/>
    <w:rsid w:val="00472A96"/>
    <w:rsid w:val="004734D0"/>
    <w:rsid w:val="0047556B"/>
    <w:rsid w:val="00477768"/>
    <w:rsid w:val="00480605"/>
    <w:rsid w:val="00483608"/>
    <w:rsid w:val="0049191D"/>
    <w:rsid w:val="00492BC5"/>
    <w:rsid w:val="004964F1"/>
    <w:rsid w:val="004A16BC"/>
    <w:rsid w:val="004A2B94"/>
    <w:rsid w:val="004A4306"/>
    <w:rsid w:val="004B0812"/>
    <w:rsid w:val="004B6F6A"/>
    <w:rsid w:val="004B7C0C"/>
    <w:rsid w:val="004C3898"/>
    <w:rsid w:val="004C435D"/>
    <w:rsid w:val="004C55BB"/>
    <w:rsid w:val="004D1A51"/>
    <w:rsid w:val="004D2CDA"/>
    <w:rsid w:val="004D2EF3"/>
    <w:rsid w:val="004D36B1"/>
    <w:rsid w:val="004D7EBD"/>
    <w:rsid w:val="004E2680"/>
    <w:rsid w:val="004E28A5"/>
    <w:rsid w:val="004E28F9"/>
    <w:rsid w:val="004E462E"/>
    <w:rsid w:val="004E56DC"/>
    <w:rsid w:val="004E76F4"/>
    <w:rsid w:val="004F0986"/>
    <w:rsid w:val="004F0B4E"/>
    <w:rsid w:val="004F0B6C"/>
    <w:rsid w:val="004F2078"/>
    <w:rsid w:val="004F4DA3"/>
    <w:rsid w:val="00505D13"/>
    <w:rsid w:val="00505DBE"/>
    <w:rsid w:val="00506042"/>
    <w:rsid w:val="00506557"/>
    <w:rsid w:val="0050677A"/>
    <w:rsid w:val="00506A49"/>
    <w:rsid w:val="005108D8"/>
    <w:rsid w:val="005116F9"/>
    <w:rsid w:val="005153A7"/>
    <w:rsid w:val="005219CF"/>
    <w:rsid w:val="00521A03"/>
    <w:rsid w:val="005255EF"/>
    <w:rsid w:val="00527E44"/>
    <w:rsid w:val="005326A4"/>
    <w:rsid w:val="00532CED"/>
    <w:rsid w:val="00532EF9"/>
    <w:rsid w:val="005335A0"/>
    <w:rsid w:val="00534B59"/>
    <w:rsid w:val="00536759"/>
    <w:rsid w:val="00537C62"/>
    <w:rsid w:val="005419A6"/>
    <w:rsid w:val="00546970"/>
    <w:rsid w:val="00553E6B"/>
    <w:rsid w:val="00554E19"/>
    <w:rsid w:val="005557DE"/>
    <w:rsid w:val="005559E7"/>
    <w:rsid w:val="0056121F"/>
    <w:rsid w:val="00563706"/>
    <w:rsid w:val="00564F88"/>
    <w:rsid w:val="00571317"/>
    <w:rsid w:val="00571357"/>
    <w:rsid w:val="00571F9F"/>
    <w:rsid w:val="00572505"/>
    <w:rsid w:val="005735C1"/>
    <w:rsid w:val="00576592"/>
    <w:rsid w:val="00577EBB"/>
    <w:rsid w:val="0058003C"/>
    <w:rsid w:val="00580E40"/>
    <w:rsid w:val="00582809"/>
    <w:rsid w:val="00583675"/>
    <w:rsid w:val="005848E5"/>
    <w:rsid w:val="005863C9"/>
    <w:rsid w:val="005870E1"/>
    <w:rsid w:val="0058798C"/>
    <w:rsid w:val="005900FA"/>
    <w:rsid w:val="005935A4"/>
    <w:rsid w:val="005948C2"/>
    <w:rsid w:val="00595DCA"/>
    <w:rsid w:val="0059779B"/>
    <w:rsid w:val="005A209A"/>
    <w:rsid w:val="005A3C1E"/>
    <w:rsid w:val="005A662D"/>
    <w:rsid w:val="005B1409"/>
    <w:rsid w:val="005B301E"/>
    <w:rsid w:val="005B35D7"/>
    <w:rsid w:val="005B392A"/>
    <w:rsid w:val="005B3AA3"/>
    <w:rsid w:val="005B6F83"/>
    <w:rsid w:val="005C23BC"/>
    <w:rsid w:val="005C74FB"/>
    <w:rsid w:val="005D1602"/>
    <w:rsid w:val="005D3097"/>
    <w:rsid w:val="005D5AD2"/>
    <w:rsid w:val="005E385F"/>
    <w:rsid w:val="005E5B81"/>
    <w:rsid w:val="005E7024"/>
    <w:rsid w:val="005F2CB1"/>
    <w:rsid w:val="005F3025"/>
    <w:rsid w:val="005F5D00"/>
    <w:rsid w:val="005F618C"/>
    <w:rsid w:val="005F70BD"/>
    <w:rsid w:val="0060283C"/>
    <w:rsid w:val="00604F14"/>
    <w:rsid w:val="00606248"/>
    <w:rsid w:val="00607651"/>
    <w:rsid w:val="00611AB8"/>
    <w:rsid w:val="00611B83"/>
    <w:rsid w:val="006123D5"/>
    <w:rsid w:val="00613257"/>
    <w:rsid w:val="006150EA"/>
    <w:rsid w:val="00615FC8"/>
    <w:rsid w:val="0061659B"/>
    <w:rsid w:val="00617083"/>
    <w:rsid w:val="00620A71"/>
    <w:rsid w:val="00620D80"/>
    <w:rsid w:val="00621A33"/>
    <w:rsid w:val="006234A6"/>
    <w:rsid w:val="00623C72"/>
    <w:rsid w:val="00630001"/>
    <w:rsid w:val="006311B3"/>
    <w:rsid w:val="0063284C"/>
    <w:rsid w:val="00632F8A"/>
    <w:rsid w:val="00636398"/>
    <w:rsid w:val="006368D3"/>
    <w:rsid w:val="00637067"/>
    <w:rsid w:val="006377EC"/>
    <w:rsid w:val="0064151F"/>
    <w:rsid w:val="00641533"/>
    <w:rsid w:val="0064208D"/>
    <w:rsid w:val="00642EEE"/>
    <w:rsid w:val="00643475"/>
    <w:rsid w:val="0064396A"/>
    <w:rsid w:val="0064624E"/>
    <w:rsid w:val="00650AB9"/>
    <w:rsid w:val="00654DA0"/>
    <w:rsid w:val="00655733"/>
    <w:rsid w:val="00655ACD"/>
    <w:rsid w:val="00656A92"/>
    <w:rsid w:val="00656DDE"/>
    <w:rsid w:val="0065714F"/>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7FF"/>
    <w:rsid w:val="00681003"/>
    <w:rsid w:val="006812E6"/>
    <w:rsid w:val="006817C9"/>
    <w:rsid w:val="00683ECE"/>
    <w:rsid w:val="00695FC2"/>
    <w:rsid w:val="00696949"/>
    <w:rsid w:val="00697052"/>
    <w:rsid w:val="006A1B7C"/>
    <w:rsid w:val="006A3004"/>
    <w:rsid w:val="006A46FB"/>
    <w:rsid w:val="006A5E28"/>
    <w:rsid w:val="006A697B"/>
    <w:rsid w:val="006A7AFF"/>
    <w:rsid w:val="006B1816"/>
    <w:rsid w:val="006B1F81"/>
    <w:rsid w:val="006B2099"/>
    <w:rsid w:val="006B373C"/>
    <w:rsid w:val="006B50CF"/>
    <w:rsid w:val="006C03B8"/>
    <w:rsid w:val="006C138D"/>
    <w:rsid w:val="006C5EC9"/>
    <w:rsid w:val="006C6059"/>
    <w:rsid w:val="006C7522"/>
    <w:rsid w:val="006D0D50"/>
    <w:rsid w:val="006D6F08"/>
    <w:rsid w:val="006E062C"/>
    <w:rsid w:val="006E1C82"/>
    <w:rsid w:val="006E2863"/>
    <w:rsid w:val="006E28B7"/>
    <w:rsid w:val="006E2A9B"/>
    <w:rsid w:val="006E3310"/>
    <w:rsid w:val="006E4E39"/>
    <w:rsid w:val="006E565E"/>
    <w:rsid w:val="006E673D"/>
    <w:rsid w:val="006E7D3B"/>
    <w:rsid w:val="006F1B70"/>
    <w:rsid w:val="006F341D"/>
    <w:rsid w:val="006F3CDE"/>
    <w:rsid w:val="006F58D4"/>
    <w:rsid w:val="006F6582"/>
    <w:rsid w:val="00702216"/>
    <w:rsid w:val="0070301F"/>
    <w:rsid w:val="0070346E"/>
    <w:rsid w:val="00704D18"/>
    <w:rsid w:val="00704EDB"/>
    <w:rsid w:val="00706101"/>
    <w:rsid w:val="007061DA"/>
    <w:rsid w:val="00707072"/>
    <w:rsid w:val="007073AD"/>
    <w:rsid w:val="00707D61"/>
    <w:rsid w:val="00712287"/>
    <w:rsid w:val="00712772"/>
    <w:rsid w:val="007148D3"/>
    <w:rsid w:val="00715B9A"/>
    <w:rsid w:val="00723230"/>
    <w:rsid w:val="007257D0"/>
    <w:rsid w:val="00726EA6"/>
    <w:rsid w:val="00727208"/>
    <w:rsid w:val="00727680"/>
    <w:rsid w:val="007348B1"/>
    <w:rsid w:val="007362A6"/>
    <w:rsid w:val="00736C31"/>
    <w:rsid w:val="00736D7D"/>
    <w:rsid w:val="00740E58"/>
    <w:rsid w:val="00741A5D"/>
    <w:rsid w:val="007445A0"/>
    <w:rsid w:val="0074524B"/>
    <w:rsid w:val="007476BB"/>
    <w:rsid w:val="00747D8B"/>
    <w:rsid w:val="00751228"/>
    <w:rsid w:val="0075548D"/>
    <w:rsid w:val="00756943"/>
    <w:rsid w:val="007571E1"/>
    <w:rsid w:val="00757A16"/>
    <w:rsid w:val="007604B2"/>
    <w:rsid w:val="0076459B"/>
    <w:rsid w:val="00765281"/>
    <w:rsid w:val="00766BAD"/>
    <w:rsid w:val="0077061D"/>
    <w:rsid w:val="007729A2"/>
    <w:rsid w:val="00773FA8"/>
    <w:rsid w:val="007755F2"/>
    <w:rsid w:val="007768E8"/>
    <w:rsid w:val="00776971"/>
    <w:rsid w:val="00780A80"/>
    <w:rsid w:val="007815B2"/>
    <w:rsid w:val="0078177E"/>
    <w:rsid w:val="0078304C"/>
    <w:rsid w:val="00783673"/>
    <w:rsid w:val="00784A28"/>
    <w:rsid w:val="00785490"/>
    <w:rsid w:val="007925EA"/>
    <w:rsid w:val="00793CD8"/>
    <w:rsid w:val="00795C92"/>
    <w:rsid w:val="00796231"/>
    <w:rsid w:val="007A1CB3"/>
    <w:rsid w:val="007A306F"/>
    <w:rsid w:val="007A43A6"/>
    <w:rsid w:val="007A58A6"/>
    <w:rsid w:val="007A64B8"/>
    <w:rsid w:val="007B3D2D"/>
    <w:rsid w:val="007B50AE"/>
    <w:rsid w:val="007B51DF"/>
    <w:rsid w:val="007C05DD"/>
    <w:rsid w:val="007C1724"/>
    <w:rsid w:val="007C3D18"/>
    <w:rsid w:val="007C60BF"/>
    <w:rsid w:val="007C6A07"/>
    <w:rsid w:val="007C75A1"/>
    <w:rsid w:val="007C77A5"/>
    <w:rsid w:val="007C7E82"/>
    <w:rsid w:val="007D04E5"/>
    <w:rsid w:val="007D4550"/>
    <w:rsid w:val="007D5901"/>
    <w:rsid w:val="007D5E33"/>
    <w:rsid w:val="007D7526"/>
    <w:rsid w:val="007E4610"/>
    <w:rsid w:val="007E4715"/>
    <w:rsid w:val="007E505B"/>
    <w:rsid w:val="007E6F97"/>
    <w:rsid w:val="007E7043"/>
    <w:rsid w:val="007E7091"/>
    <w:rsid w:val="007F56EC"/>
    <w:rsid w:val="007F60EC"/>
    <w:rsid w:val="007F742E"/>
    <w:rsid w:val="00803FAE"/>
    <w:rsid w:val="0080605F"/>
    <w:rsid w:val="00807786"/>
    <w:rsid w:val="00811FCB"/>
    <w:rsid w:val="00813525"/>
    <w:rsid w:val="008158D6"/>
    <w:rsid w:val="00815E0E"/>
    <w:rsid w:val="00817196"/>
    <w:rsid w:val="008209B9"/>
    <w:rsid w:val="008235DB"/>
    <w:rsid w:val="00824AB4"/>
    <w:rsid w:val="00825C42"/>
    <w:rsid w:val="00825D25"/>
    <w:rsid w:val="00827D6F"/>
    <w:rsid w:val="008376AC"/>
    <w:rsid w:val="00843C2C"/>
    <w:rsid w:val="008444E8"/>
    <w:rsid w:val="00844E80"/>
    <w:rsid w:val="00846FE7"/>
    <w:rsid w:val="00851D1D"/>
    <w:rsid w:val="00854858"/>
    <w:rsid w:val="00856303"/>
    <w:rsid w:val="00856911"/>
    <w:rsid w:val="0085786B"/>
    <w:rsid w:val="00863CCC"/>
    <w:rsid w:val="00864B41"/>
    <w:rsid w:val="008677FD"/>
    <w:rsid w:val="008706D4"/>
    <w:rsid w:val="00870F8A"/>
    <w:rsid w:val="008719A4"/>
    <w:rsid w:val="00871D23"/>
    <w:rsid w:val="008735D0"/>
    <w:rsid w:val="00874312"/>
    <w:rsid w:val="0087437C"/>
    <w:rsid w:val="00875CD7"/>
    <w:rsid w:val="00876043"/>
    <w:rsid w:val="00876B4D"/>
    <w:rsid w:val="00877DD0"/>
    <w:rsid w:val="00877F18"/>
    <w:rsid w:val="00881C81"/>
    <w:rsid w:val="00884D8F"/>
    <w:rsid w:val="008941E3"/>
    <w:rsid w:val="00894A88"/>
    <w:rsid w:val="00895386"/>
    <w:rsid w:val="00897B08"/>
    <w:rsid w:val="008A21FF"/>
    <w:rsid w:val="008A2CE2"/>
    <w:rsid w:val="008A30AC"/>
    <w:rsid w:val="008A44B8"/>
    <w:rsid w:val="008A51A8"/>
    <w:rsid w:val="008A54C7"/>
    <w:rsid w:val="008A77D8"/>
    <w:rsid w:val="008A78F4"/>
    <w:rsid w:val="008B0483"/>
    <w:rsid w:val="008B120C"/>
    <w:rsid w:val="008B31B5"/>
    <w:rsid w:val="008B3CFD"/>
    <w:rsid w:val="008B51A0"/>
    <w:rsid w:val="008B592A"/>
    <w:rsid w:val="008B7B5C"/>
    <w:rsid w:val="008C0C99"/>
    <w:rsid w:val="008C2017"/>
    <w:rsid w:val="008C3407"/>
    <w:rsid w:val="008C3EFF"/>
    <w:rsid w:val="008C4958"/>
    <w:rsid w:val="008C4BAA"/>
    <w:rsid w:val="008C6AE8"/>
    <w:rsid w:val="008C7573"/>
    <w:rsid w:val="008D00A5"/>
    <w:rsid w:val="008D34F1"/>
    <w:rsid w:val="008D39D8"/>
    <w:rsid w:val="008D63FC"/>
    <w:rsid w:val="008D6D1A"/>
    <w:rsid w:val="008E065E"/>
    <w:rsid w:val="008E0927"/>
    <w:rsid w:val="008E1909"/>
    <w:rsid w:val="008E246B"/>
    <w:rsid w:val="008E72F8"/>
    <w:rsid w:val="008F0296"/>
    <w:rsid w:val="008F0BDC"/>
    <w:rsid w:val="008F1EAB"/>
    <w:rsid w:val="008F2662"/>
    <w:rsid w:val="008F33DC"/>
    <w:rsid w:val="008F477F"/>
    <w:rsid w:val="008F5043"/>
    <w:rsid w:val="008F7593"/>
    <w:rsid w:val="00902350"/>
    <w:rsid w:val="00903292"/>
    <w:rsid w:val="0090336B"/>
    <w:rsid w:val="009053AA"/>
    <w:rsid w:val="00906939"/>
    <w:rsid w:val="00910B7D"/>
    <w:rsid w:val="00911DFB"/>
    <w:rsid w:val="009139D9"/>
    <w:rsid w:val="00914AD8"/>
    <w:rsid w:val="00916079"/>
    <w:rsid w:val="00917CE9"/>
    <w:rsid w:val="00920BF2"/>
    <w:rsid w:val="00922010"/>
    <w:rsid w:val="009228B4"/>
    <w:rsid w:val="00930936"/>
    <w:rsid w:val="00931BD9"/>
    <w:rsid w:val="00934527"/>
    <w:rsid w:val="009368F3"/>
    <w:rsid w:val="00936F18"/>
    <w:rsid w:val="00937B32"/>
    <w:rsid w:val="00937E7A"/>
    <w:rsid w:val="00941636"/>
    <w:rsid w:val="00943742"/>
    <w:rsid w:val="00945C05"/>
    <w:rsid w:val="00946945"/>
    <w:rsid w:val="00947713"/>
    <w:rsid w:val="00950DE7"/>
    <w:rsid w:val="00953920"/>
    <w:rsid w:val="00953D47"/>
    <w:rsid w:val="0095681E"/>
    <w:rsid w:val="009568E8"/>
    <w:rsid w:val="009572D4"/>
    <w:rsid w:val="00961921"/>
    <w:rsid w:val="0096430A"/>
    <w:rsid w:val="0096554B"/>
    <w:rsid w:val="0096584A"/>
    <w:rsid w:val="00967C2E"/>
    <w:rsid w:val="0097014A"/>
    <w:rsid w:val="00971BBC"/>
    <w:rsid w:val="00971F08"/>
    <w:rsid w:val="0097603D"/>
    <w:rsid w:val="00976949"/>
    <w:rsid w:val="00980477"/>
    <w:rsid w:val="00981343"/>
    <w:rsid w:val="00985253"/>
    <w:rsid w:val="009853B3"/>
    <w:rsid w:val="009879B0"/>
    <w:rsid w:val="00990630"/>
    <w:rsid w:val="00991761"/>
    <w:rsid w:val="00991AE2"/>
    <w:rsid w:val="0099222B"/>
    <w:rsid w:val="00994DCA"/>
    <w:rsid w:val="009960EC"/>
    <w:rsid w:val="009970DD"/>
    <w:rsid w:val="009A0FBA"/>
    <w:rsid w:val="009A1601"/>
    <w:rsid w:val="009A3BB6"/>
    <w:rsid w:val="009A462D"/>
    <w:rsid w:val="009A56AF"/>
    <w:rsid w:val="009A5CBA"/>
    <w:rsid w:val="009B01E8"/>
    <w:rsid w:val="009B1F30"/>
    <w:rsid w:val="009B2E19"/>
    <w:rsid w:val="009B3AC2"/>
    <w:rsid w:val="009B4DF4"/>
    <w:rsid w:val="009B564E"/>
    <w:rsid w:val="009B729C"/>
    <w:rsid w:val="009B7E87"/>
    <w:rsid w:val="009C0169"/>
    <w:rsid w:val="009C0AE5"/>
    <w:rsid w:val="009C403E"/>
    <w:rsid w:val="009C5A50"/>
    <w:rsid w:val="009D026F"/>
    <w:rsid w:val="009D20C6"/>
    <w:rsid w:val="009D4EF2"/>
    <w:rsid w:val="009D4FF0"/>
    <w:rsid w:val="009D703C"/>
    <w:rsid w:val="009D718F"/>
    <w:rsid w:val="009E068F"/>
    <w:rsid w:val="009E14E0"/>
    <w:rsid w:val="009E35DB"/>
    <w:rsid w:val="009E47A3"/>
    <w:rsid w:val="009F08F3"/>
    <w:rsid w:val="009F344F"/>
    <w:rsid w:val="009F4BD3"/>
    <w:rsid w:val="00A03143"/>
    <w:rsid w:val="00A031D8"/>
    <w:rsid w:val="00A048A8"/>
    <w:rsid w:val="00A04F49"/>
    <w:rsid w:val="00A06A68"/>
    <w:rsid w:val="00A12224"/>
    <w:rsid w:val="00A137E6"/>
    <w:rsid w:val="00A13A65"/>
    <w:rsid w:val="00A13E54"/>
    <w:rsid w:val="00A16156"/>
    <w:rsid w:val="00A17F63"/>
    <w:rsid w:val="00A2193B"/>
    <w:rsid w:val="00A2351A"/>
    <w:rsid w:val="00A23EDC"/>
    <w:rsid w:val="00A264A9"/>
    <w:rsid w:val="00A26DCF"/>
    <w:rsid w:val="00A27785"/>
    <w:rsid w:val="00A30187"/>
    <w:rsid w:val="00A32CDA"/>
    <w:rsid w:val="00A3357A"/>
    <w:rsid w:val="00A3448A"/>
    <w:rsid w:val="00A35290"/>
    <w:rsid w:val="00A36297"/>
    <w:rsid w:val="00A416D4"/>
    <w:rsid w:val="00A419DD"/>
    <w:rsid w:val="00A41E2B"/>
    <w:rsid w:val="00A42676"/>
    <w:rsid w:val="00A45B74"/>
    <w:rsid w:val="00A47BE2"/>
    <w:rsid w:val="00A52E1D"/>
    <w:rsid w:val="00A546BB"/>
    <w:rsid w:val="00A56CCF"/>
    <w:rsid w:val="00A61499"/>
    <w:rsid w:val="00A62A77"/>
    <w:rsid w:val="00A630F0"/>
    <w:rsid w:val="00A63483"/>
    <w:rsid w:val="00A657D7"/>
    <w:rsid w:val="00A660AC"/>
    <w:rsid w:val="00A67612"/>
    <w:rsid w:val="00A67E6C"/>
    <w:rsid w:val="00A71B99"/>
    <w:rsid w:val="00A71CCB"/>
    <w:rsid w:val="00A739D0"/>
    <w:rsid w:val="00A761D4"/>
    <w:rsid w:val="00A77EC4"/>
    <w:rsid w:val="00A85D6B"/>
    <w:rsid w:val="00A86F56"/>
    <w:rsid w:val="00A87E90"/>
    <w:rsid w:val="00A90640"/>
    <w:rsid w:val="00A92879"/>
    <w:rsid w:val="00A93C9F"/>
    <w:rsid w:val="00A9442A"/>
    <w:rsid w:val="00AA016F"/>
    <w:rsid w:val="00AA1ED6"/>
    <w:rsid w:val="00AA2FEB"/>
    <w:rsid w:val="00AA4FDA"/>
    <w:rsid w:val="00AA51D6"/>
    <w:rsid w:val="00AB0BC8"/>
    <w:rsid w:val="00AB11CA"/>
    <w:rsid w:val="00AB14D9"/>
    <w:rsid w:val="00AB3001"/>
    <w:rsid w:val="00AB4AB8"/>
    <w:rsid w:val="00AB577C"/>
    <w:rsid w:val="00AB655E"/>
    <w:rsid w:val="00AB6AA3"/>
    <w:rsid w:val="00AC007F"/>
    <w:rsid w:val="00AC05BD"/>
    <w:rsid w:val="00AC1891"/>
    <w:rsid w:val="00AC278E"/>
    <w:rsid w:val="00AC2ECD"/>
    <w:rsid w:val="00AC3119"/>
    <w:rsid w:val="00AC49FB"/>
    <w:rsid w:val="00AC5A10"/>
    <w:rsid w:val="00AC634D"/>
    <w:rsid w:val="00AD0AA3"/>
    <w:rsid w:val="00AD300C"/>
    <w:rsid w:val="00AD3F94"/>
    <w:rsid w:val="00AD4A5A"/>
    <w:rsid w:val="00AD5908"/>
    <w:rsid w:val="00AE2655"/>
    <w:rsid w:val="00AE27AC"/>
    <w:rsid w:val="00AE3BF5"/>
    <w:rsid w:val="00AE40E0"/>
    <w:rsid w:val="00AE4DBA"/>
    <w:rsid w:val="00AE4F07"/>
    <w:rsid w:val="00AE53E9"/>
    <w:rsid w:val="00AE6613"/>
    <w:rsid w:val="00AF1C5D"/>
    <w:rsid w:val="00AF3EDA"/>
    <w:rsid w:val="00AF42D7"/>
    <w:rsid w:val="00AF4953"/>
    <w:rsid w:val="00AF5E55"/>
    <w:rsid w:val="00B006FE"/>
    <w:rsid w:val="00B007CB"/>
    <w:rsid w:val="00B014FD"/>
    <w:rsid w:val="00B02AA9"/>
    <w:rsid w:val="00B02FA3"/>
    <w:rsid w:val="00B037F7"/>
    <w:rsid w:val="00B05084"/>
    <w:rsid w:val="00B104FA"/>
    <w:rsid w:val="00B14516"/>
    <w:rsid w:val="00B157F9"/>
    <w:rsid w:val="00B20256"/>
    <w:rsid w:val="00B2077E"/>
    <w:rsid w:val="00B20D09"/>
    <w:rsid w:val="00B2240F"/>
    <w:rsid w:val="00B22AC6"/>
    <w:rsid w:val="00B23EBD"/>
    <w:rsid w:val="00B25450"/>
    <w:rsid w:val="00B2763F"/>
    <w:rsid w:val="00B27AAC"/>
    <w:rsid w:val="00B304BE"/>
    <w:rsid w:val="00B30929"/>
    <w:rsid w:val="00B30C3A"/>
    <w:rsid w:val="00B36AA5"/>
    <w:rsid w:val="00B372AA"/>
    <w:rsid w:val="00B40445"/>
    <w:rsid w:val="00B409E0"/>
    <w:rsid w:val="00B41888"/>
    <w:rsid w:val="00B43322"/>
    <w:rsid w:val="00B451D9"/>
    <w:rsid w:val="00B45A52"/>
    <w:rsid w:val="00B46175"/>
    <w:rsid w:val="00B476AA"/>
    <w:rsid w:val="00B5116B"/>
    <w:rsid w:val="00B51F37"/>
    <w:rsid w:val="00B543DB"/>
    <w:rsid w:val="00B548B7"/>
    <w:rsid w:val="00B54A16"/>
    <w:rsid w:val="00B615B5"/>
    <w:rsid w:val="00B664C7"/>
    <w:rsid w:val="00B71704"/>
    <w:rsid w:val="00B732E1"/>
    <w:rsid w:val="00B739F6"/>
    <w:rsid w:val="00B81A6C"/>
    <w:rsid w:val="00B83330"/>
    <w:rsid w:val="00B849A4"/>
    <w:rsid w:val="00B85DE5"/>
    <w:rsid w:val="00B8740B"/>
    <w:rsid w:val="00B90F73"/>
    <w:rsid w:val="00B92F61"/>
    <w:rsid w:val="00B93B59"/>
    <w:rsid w:val="00B9406A"/>
    <w:rsid w:val="00B94AE0"/>
    <w:rsid w:val="00B97809"/>
    <w:rsid w:val="00BA022D"/>
    <w:rsid w:val="00BA2280"/>
    <w:rsid w:val="00BA2A08"/>
    <w:rsid w:val="00BA3779"/>
    <w:rsid w:val="00BA56D2"/>
    <w:rsid w:val="00BA76E0"/>
    <w:rsid w:val="00BB025F"/>
    <w:rsid w:val="00BB12D9"/>
    <w:rsid w:val="00BB12EA"/>
    <w:rsid w:val="00BB2A25"/>
    <w:rsid w:val="00BB4E83"/>
    <w:rsid w:val="00BB51E9"/>
    <w:rsid w:val="00BC0FDC"/>
    <w:rsid w:val="00BC3053"/>
    <w:rsid w:val="00BC4D2E"/>
    <w:rsid w:val="00BC7818"/>
    <w:rsid w:val="00BD3338"/>
    <w:rsid w:val="00BD48AC"/>
    <w:rsid w:val="00BD533E"/>
    <w:rsid w:val="00BD5F1A"/>
    <w:rsid w:val="00BE0767"/>
    <w:rsid w:val="00BE1234"/>
    <w:rsid w:val="00BE2D23"/>
    <w:rsid w:val="00BE2FA6"/>
    <w:rsid w:val="00BE333F"/>
    <w:rsid w:val="00BE4009"/>
    <w:rsid w:val="00BE7406"/>
    <w:rsid w:val="00BE7603"/>
    <w:rsid w:val="00BF04C5"/>
    <w:rsid w:val="00BF0FAC"/>
    <w:rsid w:val="00BF3279"/>
    <w:rsid w:val="00BF3818"/>
    <w:rsid w:val="00BF64B2"/>
    <w:rsid w:val="00BF74C7"/>
    <w:rsid w:val="00C015F1"/>
    <w:rsid w:val="00C016E1"/>
    <w:rsid w:val="00C01F33"/>
    <w:rsid w:val="00C02CC6"/>
    <w:rsid w:val="00C040F7"/>
    <w:rsid w:val="00C044AB"/>
    <w:rsid w:val="00C05706"/>
    <w:rsid w:val="00C07377"/>
    <w:rsid w:val="00C07EBD"/>
    <w:rsid w:val="00C1019D"/>
    <w:rsid w:val="00C10478"/>
    <w:rsid w:val="00C11347"/>
    <w:rsid w:val="00C12107"/>
    <w:rsid w:val="00C14D4B"/>
    <w:rsid w:val="00C154BB"/>
    <w:rsid w:val="00C202CD"/>
    <w:rsid w:val="00C22714"/>
    <w:rsid w:val="00C24083"/>
    <w:rsid w:val="00C268E6"/>
    <w:rsid w:val="00C279B5"/>
    <w:rsid w:val="00C27C45"/>
    <w:rsid w:val="00C323C7"/>
    <w:rsid w:val="00C32AAE"/>
    <w:rsid w:val="00C358A5"/>
    <w:rsid w:val="00C3719D"/>
    <w:rsid w:val="00C37CB2"/>
    <w:rsid w:val="00C400A3"/>
    <w:rsid w:val="00C40121"/>
    <w:rsid w:val="00C41461"/>
    <w:rsid w:val="00C434AF"/>
    <w:rsid w:val="00C43C3A"/>
    <w:rsid w:val="00C473A5"/>
    <w:rsid w:val="00C47C36"/>
    <w:rsid w:val="00C52B67"/>
    <w:rsid w:val="00C53884"/>
    <w:rsid w:val="00C54995"/>
    <w:rsid w:val="00C54D41"/>
    <w:rsid w:val="00C57A5A"/>
    <w:rsid w:val="00C60783"/>
    <w:rsid w:val="00C61A92"/>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A001C"/>
    <w:rsid w:val="00CA1ED8"/>
    <w:rsid w:val="00CA72AA"/>
    <w:rsid w:val="00CB1F63"/>
    <w:rsid w:val="00CB7170"/>
    <w:rsid w:val="00CC019F"/>
    <w:rsid w:val="00CC040E"/>
    <w:rsid w:val="00CC111F"/>
    <w:rsid w:val="00CC2011"/>
    <w:rsid w:val="00CC2883"/>
    <w:rsid w:val="00CC3EA0"/>
    <w:rsid w:val="00CC7B45"/>
    <w:rsid w:val="00CD0B7D"/>
    <w:rsid w:val="00CD1188"/>
    <w:rsid w:val="00CD2ED1"/>
    <w:rsid w:val="00CD337B"/>
    <w:rsid w:val="00CD3713"/>
    <w:rsid w:val="00CD57F8"/>
    <w:rsid w:val="00CD74B5"/>
    <w:rsid w:val="00CE0424"/>
    <w:rsid w:val="00CE1625"/>
    <w:rsid w:val="00CE6167"/>
    <w:rsid w:val="00CE6509"/>
    <w:rsid w:val="00CE706A"/>
    <w:rsid w:val="00CE7561"/>
    <w:rsid w:val="00CF1354"/>
    <w:rsid w:val="00CF3B1F"/>
    <w:rsid w:val="00CF3BF6"/>
    <w:rsid w:val="00CF625B"/>
    <w:rsid w:val="00CF687E"/>
    <w:rsid w:val="00D0204D"/>
    <w:rsid w:val="00D033FF"/>
    <w:rsid w:val="00D0349B"/>
    <w:rsid w:val="00D04A87"/>
    <w:rsid w:val="00D10249"/>
    <w:rsid w:val="00D115C3"/>
    <w:rsid w:val="00D11897"/>
    <w:rsid w:val="00D13135"/>
    <w:rsid w:val="00D13E4E"/>
    <w:rsid w:val="00D14D15"/>
    <w:rsid w:val="00D16FD5"/>
    <w:rsid w:val="00D22A15"/>
    <w:rsid w:val="00D22FE1"/>
    <w:rsid w:val="00D239A7"/>
    <w:rsid w:val="00D23F47"/>
    <w:rsid w:val="00D3532C"/>
    <w:rsid w:val="00D36E71"/>
    <w:rsid w:val="00D37A42"/>
    <w:rsid w:val="00D37D87"/>
    <w:rsid w:val="00D40B33"/>
    <w:rsid w:val="00D4238E"/>
    <w:rsid w:val="00D4318F"/>
    <w:rsid w:val="00D437B6"/>
    <w:rsid w:val="00D438BF"/>
    <w:rsid w:val="00D440F8"/>
    <w:rsid w:val="00D5152E"/>
    <w:rsid w:val="00D52CF3"/>
    <w:rsid w:val="00D546FF"/>
    <w:rsid w:val="00D55AD5"/>
    <w:rsid w:val="00D575BB"/>
    <w:rsid w:val="00D576CA"/>
    <w:rsid w:val="00D57BFF"/>
    <w:rsid w:val="00D60186"/>
    <w:rsid w:val="00D61AF5"/>
    <w:rsid w:val="00D652B5"/>
    <w:rsid w:val="00D65E0D"/>
    <w:rsid w:val="00D66155"/>
    <w:rsid w:val="00D708B0"/>
    <w:rsid w:val="00D7479D"/>
    <w:rsid w:val="00D77B1D"/>
    <w:rsid w:val="00D77D44"/>
    <w:rsid w:val="00D8021F"/>
    <w:rsid w:val="00D80383"/>
    <w:rsid w:val="00D823C6"/>
    <w:rsid w:val="00D82C3A"/>
    <w:rsid w:val="00D8327F"/>
    <w:rsid w:val="00D84DD5"/>
    <w:rsid w:val="00D86CA3"/>
    <w:rsid w:val="00D871CE"/>
    <w:rsid w:val="00D87C7B"/>
    <w:rsid w:val="00D9196D"/>
    <w:rsid w:val="00D921B1"/>
    <w:rsid w:val="00D92982"/>
    <w:rsid w:val="00D92A04"/>
    <w:rsid w:val="00DA1858"/>
    <w:rsid w:val="00DA305E"/>
    <w:rsid w:val="00DA5417"/>
    <w:rsid w:val="00DA56E8"/>
    <w:rsid w:val="00DB0709"/>
    <w:rsid w:val="00DB09A7"/>
    <w:rsid w:val="00DB0A9F"/>
    <w:rsid w:val="00DB377D"/>
    <w:rsid w:val="00DB529F"/>
    <w:rsid w:val="00DC1A23"/>
    <w:rsid w:val="00DC21B6"/>
    <w:rsid w:val="00DC2D36"/>
    <w:rsid w:val="00DC53EF"/>
    <w:rsid w:val="00DD26F1"/>
    <w:rsid w:val="00DD4457"/>
    <w:rsid w:val="00DD4F01"/>
    <w:rsid w:val="00DD51BF"/>
    <w:rsid w:val="00DD623B"/>
    <w:rsid w:val="00DE0859"/>
    <w:rsid w:val="00DE3CDC"/>
    <w:rsid w:val="00DE4B16"/>
    <w:rsid w:val="00DE5608"/>
    <w:rsid w:val="00DE57A4"/>
    <w:rsid w:val="00DE58D0"/>
    <w:rsid w:val="00DE654F"/>
    <w:rsid w:val="00DF0B6E"/>
    <w:rsid w:val="00DF0C54"/>
    <w:rsid w:val="00DF15E0"/>
    <w:rsid w:val="00DF37A0"/>
    <w:rsid w:val="00DF560A"/>
    <w:rsid w:val="00DF66E1"/>
    <w:rsid w:val="00E020AC"/>
    <w:rsid w:val="00E075D5"/>
    <w:rsid w:val="00E110E7"/>
    <w:rsid w:val="00E11B20"/>
    <w:rsid w:val="00E1517C"/>
    <w:rsid w:val="00E1523E"/>
    <w:rsid w:val="00E17FA2"/>
    <w:rsid w:val="00E22330"/>
    <w:rsid w:val="00E30A4E"/>
    <w:rsid w:val="00E30B5A"/>
    <w:rsid w:val="00E3123D"/>
    <w:rsid w:val="00E31461"/>
    <w:rsid w:val="00E3198C"/>
    <w:rsid w:val="00E31D43"/>
    <w:rsid w:val="00E32608"/>
    <w:rsid w:val="00E34188"/>
    <w:rsid w:val="00E34B6E"/>
    <w:rsid w:val="00E35559"/>
    <w:rsid w:val="00E3651D"/>
    <w:rsid w:val="00E3723A"/>
    <w:rsid w:val="00E37860"/>
    <w:rsid w:val="00E40907"/>
    <w:rsid w:val="00E446F1"/>
    <w:rsid w:val="00E46886"/>
    <w:rsid w:val="00E47AEF"/>
    <w:rsid w:val="00E52D29"/>
    <w:rsid w:val="00E53B75"/>
    <w:rsid w:val="00E54E3B"/>
    <w:rsid w:val="00E55C72"/>
    <w:rsid w:val="00E57565"/>
    <w:rsid w:val="00E63838"/>
    <w:rsid w:val="00E64434"/>
    <w:rsid w:val="00E64A68"/>
    <w:rsid w:val="00E67C51"/>
    <w:rsid w:val="00E724AD"/>
    <w:rsid w:val="00E72B6A"/>
    <w:rsid w:val="00E72EFC"/>
    <w:rsid w:val="00E758EC"/>
    <w:rsid w:val="00E8234C"/>
    <w:rsid w:val="00E83AA9"/>
    <w:rsid w:val="00E85928"/>
    <w:rsid w:val="00E87822"/>
    <w:rsid w:val="00E90395"/>
    <w:rsid w:val="00E90C33"/>
    <w:rsid w:val="00E90E49"/>
    <w:rsid w:val="00E917F9"/>
    <w:rsid w:val="00E9210D"/>
    <w:rsid w:val="00E9291C"/>
    <w:rsid w:val="00E93732"/>
    <w:rsid w:val="00E93FFE"/>
    <w:rsid w:val="00E94898"/>
    <w:rsid w:val="00E94F8A"/>
    <w:rsid w:val="00E96CF8"/>
    <w:rsid w:val="00EA3AA5"/>
    <w:rsid w:val="00EA7A41"/>
    <w:rsid w:val="00EB077B"/>
    <w:rsid w:val="00EB4EA2"/>
    <w:rsid w:val="00EB7842"/>
    <w:rsid w:val="00EC24D5"/>
    <w:rsid w:val="00EC27C6"/>
    <w:rsid w:val="00EC4207"/>
    <w:rsid w:val="00EC45B7"/>
    <w:rsid w:val="00EC5653"/>
    <w:rsid w:val="00EC65B7"/>
    <w:rsid w:val="00EC71CE"/>
    <w:rsid w:val="00ED1006"/>
    <w:rsid w:val="00ED21E0"/>
    <w:rsid w:val="00ED385B"/>
    <w:rsid w:val="00EE0920"/>
    <w:rsid w:val="00EE36EE"/>
    <w:rsid w:val="00EF18FE"/>
    <w:rsid w:val="00EF21E9"/>
    <w:rsid w:val="00EF2A67"/>
    <w:rsid w:val="00EF516D"/>
    <w:rsid w:val="00EF5787"/>
    <w:rsid w:val="00EF60D0"/>
    <w:rsid w:val="00F04F21"/>
    <w:rsid w:val="00F0528D"/>
    <w:rsid w:val="00F05BB6"/>
    <w:rsid w:val="00F06C67"/>
    <w:rsid w:val="00F06DFD"/>
    <w:rsid w:val="00F071D1"/>
    <w:rsid w:val="00F07533"/>
    <w:rsid w:val="00F10629"/>
    <w:rsid w:val="00F10998"/>
    <w:rsid w:val="00F15FA5"/>
    <w:rsid w:val="00F209B7"/>
    <w:rsid w:val="00F20F5C"/>
    <w:rsid w:val="00F21E7A"/>
    <w:rsid w:val="00F2376F"/>
    <w:rsid w:val="00F243D8"/>
    <w:rsid w:val="00F26839"/>
    <w:rsid w:val="00F30828"/>
    <w:rsid w:val="00F313D6"/>
    <w:rsid w:val="00F33E86"/>
    <w:rsid w:val="00F37A7A"/>
    <w:rsid w:val="00F40F0C"/>
    <w:rsid w:val="00F413A1"/>
    <w:rsid w:val="00F4435C"/>
    <w:rsid w:val="00F4766C"/>
    <w:rsid w:val="00F5060E"/>
    <w:rsid w:val="00F507D1"/>
    <w:rsid w:val="00F50DAE"/>
    <w:rsid w:val="00F519CE"/>
    <w:rsid w:val="00F51ADA"/>
    <w:rsid w:val="00F60203"/>
    <w:rsid w:val="00F607C5"/>
    <w:rsid w:val="00F60869"/>
    <w:rsid w:val="00F60DEA"/>
    <w:rsid w:val="00F62933"/>
    <w:rsid w:val="00F6302A"/>
    <w:rsid w:val="00F63950"/>
    <w:rsid w:val="00F64C2B"/>
    <w:rsid w:val="00F651BE"/>
    <w:rsid w:val="00F67F53"/>
    <w:rsid w:val="00F703BE"/>
    <w:rsid w:val="00F71F69"/>
    <w:rsid w:val="00F72B72"/>
    <w:rsid w:val="00F74693"/>
    <w:rsid w:val="00F74BB9"/>
    <w:rsid w:val="00F75582"/>
    <w:rsid w:val="00F76EFA"/>
    <w:rsid w:val="00F804BE"/>
    <w:rsid w:val="00F817CE"/>
    <w:rsid w:val="00F8456C"/>
    <w:rsid w:val="00F859D8"/>
    <w:rsid w:val="00F868F5"/>
    <w:rsid w:val="00F87E40"/>
    <w:rsid w:val="00F9056A"/>
    <w:rsid w:val="00F90F8D"/>
    <w:rsid w:val="00F919D5"/>
    <w:rsid w:val="00F91F70"/>
    <w:rsid w:val="00F92782"/>
    <w:rsid w:val="00F93AA9"/>
    <w:rsid w:val="00F96985"/>
    <w:rsid w:val="00F97838"/>
    <w:rsid w:val="00FA14E7"/>
    <w:rsid w:val="00FA2BB3"/>
    <w:rsid w:val="00FA5787"/>
    <w:rsid w:val="00FA74CE"/>
    <w:rsid w:val="00FB2404"/>
    <w:rsid w:val="00FB4C80"/>
    <w:rsid w:val="00FB6A6A"/>
    <w:rsid w:val="00FC0575"/>
    <w:rsid w:val="00FC5B16"/>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24997992"/>
  <w15:chartTrackingRefBased/>
  <w15:docId w15:val="{1C708883-DED7-4004-9930-EF78CCE1A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customStyle="1" w:styleId="Agreement">
    <w:name w:val="Agreement"/>
    <w:basedOn w:val="Normal"/>
    <w:next w:val="Doc-text2"/>
    <w:qFormat/>
    <w:rsid w:val="00E64A68"/>
    <w:pPr>
      <w:numPr>
        <w:numId w:val="28"/>
      </w:numPr>
      <w:tabs>
        <w:tab w:val="clear" w:pos="1494"/>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ProposalChar">
    <w:name w:val="Proposal Char"/>
    <w:basedOn w:val="DefaultParagraphFont"/>
    <w:link w:val="Proposal"/>
    <w:qFormat/>
    <w:rsid w:val="004D2EF3"/>
    <w:rPr>
      <w:rFonts w:ascii="Arial" w:hAnsi="Arial"/>
      <w:b/>
      <w:bCs/>
      <w:lang w:eastAsia="zh-CN"/>
    </w:rPr>
  </w:style>
  <w:style w:type="paragraph" w:styleId="Revision">
    <w:name w:val="Revision"/>
    <w:hidden/>
    <w:uiPriority w:val="99"/>
    <w:semiHidden/>
    <w:rsid w:val="00150649"/>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mailto:3GPPLiaison@etsi.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hyperlink" Target="mailto:antonino.orsino@ericsson.com" TargetMode="Externa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AF3FEFA6-8C58-4A3B-A0E9-74DFF0CC49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C:\Users\ebemmas\Ericsson AB\SWEA - Documents\SWEA RAN Groups\RAN2\RAN2 meetings\RAN2_119_Online\Ericsson Contributions\Ry-xxxxxx Contribution Template.dotx</Template>
  <TotalTime>542</TotalTime>
  <Pages>8</Pages>
  <Words>2845</Words>
  <Characters>14827</Characters>
  <Application>Microsoft Office Word</Application>
  <DocSecurity>0</DocSecurity>
  <Lines>370</Lines>
  <Paragraphs>327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17345</CharactersWithSpaces>
  <SharedDoc>false</SharedDoc>
  <HLinks>
    <vt:vector size="90" baseType="variant">
      <vt:variant>
        <vt:i4>8060928</vt:i4>
      </vt:variant>
      <vt:variant>
        <vt:i4>84</vt:i4>
      </vt:variant>
      <vt:variant>
        <vt:i4>0</vt:i4>
      </vt:variant>
      <vt:variant>
        <vt:i4>5</vt:i4>
      </vt:variant>
      <vt:variant>
        <vt:lpwstr>mailto:3GPPLiaison@etsi.org</vt:lpwstr>
      </vt:variant>
      <vt:variant>
        <vt:lpwstr/>
      </vt:variant>
      <vt:variant>
        <vt:i4>8126480</vt:i4>
      </vt:variant>
      <vt:variant>
        <vt:i4>81</vt:i4>
      </vt:variant>
      <vt:variant>
        <vt:i4>0</vt:i4>
      </vt:variant>
      <vt:variant>
        <vt:i4>5</vt:i4>
      </vt:variant>
      <vt:variant>
        <vt:lpwstr>mailto:antonino.orsino@ericsson.com</vt:lpwstr>
      </vt:variant>
      <vt:variant>
        <vt:lpwstr/>
      </vt:variant>
      <vt:variant>
        <vt:i4>1900602</vt:i4>
      </vt:variant>
      <vt:variant>
        <vt:i4>77</vt:i4>
      </vt:variant>
      <vt:variant>
        <vt:i4>0</vt:i4>
      </vt:variant>
      <vt:variant>
        <vt:i4>5</vt:i4>
      </vt:variant>
      <vt:variant>
        <vt:lpwstr/>
      </vt:variant>
      <vt:variant>
        <vt:lpwstr>_Toc131687289</vt:lpwstr>
      </vt:variant>
      <vt:variant>
        <vt:i4>1900602</vt:i4>
      </vt:variant>
      <vt:variant>
        <vt:i4>74</vt:i4>
      </vt:variant>
      <vt:variant>
        <vt:i4>0</vt:i4>
      </vt:variant>
      <vt:variant>
        <vt:i4>5</vt:i4>
      </vt:variant>
      <vt:variant>
        <vt:lpwstr/>
      </vt:variant>
      <vt:variant>
        <vt:lpwstr>_Toc131687288</vt:lpwstr>
      </vt:variant>
      <vt:variant>
        <vt:i4>1900602</vt:i4>
      </vt:variant>
      <vt:variant>
        <vt:i4>71</vt:i4>
      </vt:variant>
      <vt:variant>
        <vt:i4>0</vt:i4>
      </vt:variant>
      <vt:variant>
        <vt:i4>5</vt:i4>
      </vt:variant>
      <vt:variant>
        <vt:lpwstr/>
      </vt:variant>
      <vt:variant>
        <vt:lpwstr>_Toc131687287</vt:lpwstr>
      </vt:variant>
      <vt:variant>
        <vt:i4>1900602</vt:i4>
      </vt:variant>
      <vt:variant>
        <vt:i4>68</vt:i4>
      </vt:variant>
      <vt:variant>
        <vt:i4>0</vt:i4>
      </vt:variant>
      <vt:variant>
        <vt:i4>5</vt:i4>
      </vt:variant>
      <vt:variant>
        <vt:lpwstr/>
      </vt:variant>
      <vt:variant>
        <vt:lpwstr>_Toc131687286</vt:lpwstr>
      </vt:variant>
      <vt:variant>
        <vt:i4>1900602</vt:i4>
      </vt:variant>
      <vt:variant>
        <vt:i4>62</vt:i4>
      </vt:variant>
      <vt:variant>
        <vt:i4>0</vt:i4>
      </vt:variant>
      <vt:variant>
        <vt:i4>5</vt:i4>
      </vt:variant>
      <vt:variant>
        <vt:lpwstr/>
      </vt:variant>
      <vt:variant>
        <vt:lpwstr>_Toc131687285</vt:lpwstr>
      </vt:variant>
      <vt:variant>
        <vt:i4>1900602</vt:i4>
      </vt:variant>
      <vt:variant>
        <vt:i4>59</vt:i4>
      </vt:variant>
      <vt:variant>
        <vt:i4>0</vt:i4>
      </vt:variant>
      <vt:variant>
        <vt:i4>5</vt:i4>
      </vt:variant>
      <vt:variant>
        <vt:lpwstr/>
      </vt:variant>
      <vt:variant>
        <vt:lpwstr>_Toc131687284</vt:lpwstr>
      </vt:variant>
      <vt:variant>
        <vt:i4>1900602</vt:i4>
      </vt:variant>
      <vt:variant>
        <vt:i4>56</vt:i4>
      </vt:variant>
      <vt:variant>
        <vt:i4>0</vt:i4>
      </vt:variant>
      <vt:variant>
        <vt:i4>5</vt:i4>
      </vt:variant>
      <vt:variant>
        <vt:lpwstr/>
      </vt:variant>
      <vt:variant>
        <vt:lpwstr>_Toc131687283</vt:lpwstr>
      </vt:variant>
      <vt:variant>
        <vt:i4>1900602</vt:i4>
      </vt:variant>
      <vt:variant>
        <vt:i4>53</vt:i4>
      </vt:variant>
      <vt:variant>
        <vt:i4>0</vt:i4>
      </vt:variant>
      <vt:variant>
        <vt:i4>5</vt:i4>
      </vt:variant>
      <vt:variant>
        <vt:lpwstr/>
      </vt:variant>
      <vt:variant>
        <vt:lpwstr>_Toc131687282</vt:lpwstr>
      </vt:variant>
      <vt:variant>
        <vt:i4>1900602</vt:i4>
      </vt:variant>
      <vt:variant>
        <vt:i4>50</vt:i4>
      </vt:variant>
      <vt:variant>
        <vt:i4>0</vt:i4>
      </vt:variant>
      <vt:variant>
        <vt:i4>5</vt:i4>
      </vt:variant>
      <vt:variant>
        <vt:lpwstr/>
      </vt:variant>
      <vt:variant>
        <vt:lpwstr>_Toc131687281</vt:lpwstr>
      </vt:variant>
      <vt:variant>
        <vt:i4>1900602</vt:i4>
      </vt:variant>
      <vt:variant>
        <vt:i4>47</vt:i4>
      </vt:variant>
      <vt:variant>
        <vt:i4>0</vt:i4>
      </vt:variant>
      <vt:variant>
        <vt:i4>5</vt:i4>
      </vt:variant>
      <vt:variant>
        <vt:lpwstr/>
      </vt:variant>
      <vt:variant>
        <vt:lpwstr>_Toc131687280</vt:lpwstr>
      </vt:variant>
      <vt:variant>
        <vt:i4>1179706</vt:i4>
      </vt:variant>
      <vt:variant>
        <vt:i4>44</vt:i4>
      </vt:variant>
      <vt:variant>
        <vt:i4>0</vt:i4>
      </vt:variant>
      <vt:variant>
        <vt:i4>5</vt:i4>
      </vt:variant>
      <vt:variant>
        <vt:lpwstr/>
      </vt:variant>
      <vt:variant>
        <vt:lpwstr>_Toc131687279</vt:lpwstr>
      </vt:variant>
      <vt:variant>
        <vt:i4>1179706</vt:i4>
      </vt:variant>
      <vt:variant>
        <vt:i4>41</vt:i4>
      </vt:variant>
      <vt:variant>
        <vt:i4>0</vt:i4>
      </vt:variant>
      <vt:variant>
        <vt:i4>5</vt:i4>
      </vt:variant>
      <vt:variant>
        <vt:lpwstr/>
      </vt:variant>
      <vt:variant>
        <vt:lpwstr>_Toc131687278</vt:lpwstr>
      </vt:variant>
      <vt:variant>
        <vt:i4>1179706</vt:i4>
      </vt:variant>
      <vt:variant>
        <vt:i4>38</vt:i4>
      </vt:variant>
      <vt:variant>
        <vt:i4>0</vt:i4>
      </vt:variant>
      <vt:variant>
        <vt:i4>5</vt:i4>
      </vt:variant>
      <vt:variant>
        <vt:lpwstr/>
      </vt:variant>
      <vt:variant>
        <vt:lpwstr>_Toc131687277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Ericsson - RAN2#121</cp:lastModifiedBy>
  <cp:revision>475</cp:revision>
  <cp:lastPrinted>2008-02-01T12:09:00Z</cp:lastPrinted>
  <dcterms:created xsi:type="dcterms:W3CDTF">2022-06-24T18:54:00Z</dcterms:created>
  <dcterms:modified xsi:type="dcterms:W3CDTF">2023-04-07T07:50:00Z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